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E3" w:rsidRPr="002F0F61" w:rsidRDefault="00FF26E3" w:rsidP="002F0F61">
      <w:pPr>
        <w:jc w:val="center"/>
        <w:rPr>
          <w:rFonts w:asciiTheme="minorHAnsi" w:eastAsia="Times New Roman" w:hAnsiTheme="minorHAnsi" w:cstheme="minorHAnsi"/>
          <w:b/>
          <w:sz w:val="28"/>
          <w:lang w:eastAsia="de-DE"/>
        </w:rPr>
      </w:pPr>
      <w:r w:rsidRPr="002F0F61">
        <w:rPr>
          <w:rFonts w:asciiTheme="minorHAnsi" w:eastAsia="Times New Roman" w:hAnsiTheme="minorHAnsi" w:cstheme="minorHAnsi"/>
          <w:b/>
          <w:sz w:val="28"/>
          <w:lang w:eastAsia="de-DE"/>
        </w:rPr>
        <w:t>Tarifvertrag zur betrieblichen Altersversorgung und Entgeltumwandlung</w:t>
      </w:r>
    </w:p>
    <w:p w:rsidR="0005128E" w:rsidRPr="00AD3A0A" w:rsidRDefault="00FF26E3" w:rsidP="00AD3A0A">
      <w:pPr>
        <w:spacing w:before="600"/>
        <w:rPr>
          <w:rFonts w:asciiTheme="minorHAnsi" w:eastAsia="Times New Roman" w:hAnsiTheme="minorHAnsi" w:cstheme="minorHAnsi"/>
          <w:b/>
          <w:lang w:eastAsia="de-DE"/>
        </w:rPr>
      </w:pPr>
      <w:r w:rsidRPr="00AD3A0A">
        <w:rPr>
          <w:rFonts w:asciiTheme="minorHAnsi" w:eastAsia="Times New Roman" w:hAnsiTheme="minorHAnsi" w:cstheme="minorHAnsi"/>
          <w:b/>
          <w:lang w:eastAsia="de-DE"/>
        </w:rPr>
        <w:t xml:space="preserve">Zwischen </w:t>
      </w:r>
    </w:p>
    <w:p w:rsidR="0005128E" w:rsidRDefault="00FF26E3" w:rsidP="0005128E">
      <w:pPr>
        <w:spacing w:before="120"/>
        <w:rPr>
          <w:rFonts w:asciiTheme="minorHAnsi" w:eastAsia="Times New Roman" w:hAnsiTheme="minorHAnsi" w:cstheme="minorHAnsi"/>
          <w:lang w:eastAsia="de-DE"/>
        </w:rPr>
      </w:pPr>
      <w:r w:rsidRPr="00FF26E3">
        <w:rPr>
          <w:rFonts w:asciiTheme="minorHAnsi" w:eastAsia="Times New Roman" w:hAnsiTheme="minorHAnsi" w:cstheme="minorHAnsi"/>
          <w:lang w:eastAsia="de-DE"/>
        </w:rPr>
        <w:t xml:space="preserve">der Arbeitsgemeinschaft zur Regelung der Arbeitsbedingungen </w:t>
      </w:r>
    </w:p>
    <w:p w:rsidR="0005128E" w:rsidRDefault="00FF26E3" w:rsidP="0005128E">
      <w:pPr>
        <w:rPr>
          <w:rFonts w:asciiTheme="minorHAnsi" w:eastAsia="Times New Roman" w:hAnsiTheme="minorHAnsi" w:cstheme="minorHAnsi"/>
          <w:lang w:eastAsia="de-DE"/>
        </w:rPr>
      </w:pPr>
      <w:r w:rsidRPr="00FF26E3">
        <w:rPr>
          <w:rFonts w:asciiTheme="minorHAnsi" w:eastAsia="Times New Roman" w:hAnsiTheme="minorHAnsi" w:cstheme="minorHAnsi"/>
          <w:lang w:eastAsia="de-DE"/>
        </w:rPr>
        <w:t>der Arzthelferinnen/Medizinischen Fachangestellten</w:t>
      </w:r>
    </w:p>
    <w:p w:rsidR="0005128E" w:rsidRDefault="00FF26E3" w:rsidP="0005128E">
      <w:pPr>
        <w:rPr>
          <w:rFonts w:asciiTheme="minorHAnsi" w:eastAsia="Times New Roman" w:hAnsiTheme="minorHAnsi" w:cstheme="minorHAnsi"/>
          <w:lang w:eastAsia="de-DE"/>
        </w:rPr>
      </w:pPr>
      <w:r w:rsidRPr="00FF26E3">
        <w:rPr>
          <w:rFonts w:asciiTheme="minorHAnsi" w:eastAsia="Times New Roman" w:hAnsiTheme="minorHAnsi" w:cstheme="minorHAnsi"/>
          <w:lang w:eastAsia="de-DE"/>
        </w:rPr>
        <w:t>Herbert-Lewin-Platz 1, 10623 Berlin</w:t>
      </w:r>
    </w:p>
    <w:p w:rsidR="0005128E" w:rsidRPr="00AD3A0A" w:rsidRDefault="00FF26E3" w:rsidP="0005128E">
      <w:pPr>
        <w:spacing w:before="120"/>
        <w:rPr>
          <w:rFonts w:asciiTheme="minorHAnsi" w:eastAsia="Times New Roman" w:hAnsiTheme="minorHAnsi" w:cstheme="minorHAnsi"/>
          <w:b/>
          <w:lang w:eastAsia="de-DE"/>
        </w:rPr>
      </w:pPr>
      <w:r w:rsidRPr="00AD3A0A">
        <w:rPr>
          <w:rFonts w:asciiTheme="minorHAnsi" w:eastAsia="Times New Roman" w:hAnsiTheme="minorHAnsi" w:cstheme="minorHAnsi"/>
          <w:b/>
          <w:lang w:eastAsia="de-DE"/>
        </w:rPr>
        <w:t xml:space="preserve">und </w:t>
      </w:r>
    </w:p>
    <w:p w:rsidR="0005128E" w:rsidRDefault="00FF26E3" w:rsidP="0005128E">
      <w:pPr>
        <w:spacing w:before="120"/>
        <w:rPr>
          <w:rFonts w:asciiTheme="minorHAnsi" w:eastAsia="Times New Roman" w:hAnsiTheme="minorHAnsi" w:cstheme="minorHAnsi"/>
          <w:lang w:eastAsia="de-DE"/>
        </w:rPr>
      </w:pPr>
      <w:r w:rsidRPr="00FF26E3">
        <w:rPr>
          <w:rFonts w:asciiTheme="minorHAnsi" w:eastAsia="Times New Roman" w:hAnsiTheme="minorHAnsi" w:cstheme="minorHAnsi"/>
          <w:lang w:eastAsia="de-DE"/>
        </w:rPr>
        <w:t>dem</w:t>
      </w:r>
      <w:r w:rsidR="0005128E">
        <w:rPr>
          <w:rFonts w:asciiTheme="minorHAnsi" w:eastAsia="Times New Roman" w:hAnsiTheme="minorHAnsi" w:cstheme="minorHAnsi"/>
          <w:lang w:eastAsia="de-DE"/>
        </w:rPr>
        <w:t xml:space="preserve"> </w:t>
      </w:r>
      <w:r w:rsidRPr="00FF26E3">
        <w:rPr>
          <w:rFonts w:asciiTheme="minorHAnsi" w:eastAsia="Times New Roman" w:hAnsiTheme="minorHAnsi" w:cstheme="minorHAnsi"/>
          <w:lang w:eastAsia="de-DE"/>
        </w:rPr>
        <w:t>Verband medizinischer Fachberufe e.V.</w:t>
      </w:r>
    </w:p>
    <w:p w:rsidR="00FF26E3" w:rsidRDefault="00FF26E3" w:rsidP="0005128E">
      <w:pPr>
        <w:rPr>
          <w:rFonts w:asciiTheme="minorHAnsi" w:eastAsia="Times New Roman" w:hAnsiTheme="minorHAnsi" w:cstheme="minorHAnsi"/>
          <w:lang w:eastAsia="de-DE"/>
        </w:rPr>
      </w:pPr>
      <w:r w:rsidRPr="00FF26E3">
        <w:rPr>
          <w:rFonts w:asciiTheme="minorHAnsi" w:eastAsia="Times New Roman" w:hAnsiTheme="minorHAnsi" w:cstheme="minorHAnsi"/>
          <w:lang w:eastAsia="de-DE"/>
        </w:rPr>
        <w:t>Gesundheitscampus-Süd 33, 44801 Bochum,</w:t>
      </w:r>
    </w:p>
    <w:p w:rsidR="00FF26E3" w:rsidRDefault="00FF26E3" w:rsidP="0005128E">
      <w:pPr>
        <w:spacing w:before="120"/>
        <w:rPr>
          <w:rFonts w:asciiTheme="minorHAnsi" w:eastAsia="Times New Roman" w:hAnsiTheme="minorHAnsi" w:cstheme="minorHAnsi"/>
          <w:lang w:eastAsia="de-DE"/>
        </w:rPr>
      </w:pPr>
      <w:r w:rsidRPr="00FF26E3">
        <w:rPr>
          <w:rFonts w:asciiTheme="minorHAnsi" w:eastAsia="Times New Roman" w:hAnsiTheme="minorHAnsi" w:cstheme="minorHAnsi"/>
          <w:lang w:eastAsia="de-DE"/>
        </w:rPr>
        <w:t>wird folgender Tarifvertrag zur betrieblichen Altersversorgung und Entgeltumwandlung</w:t>
      </w:r>
      <w:r>
        <w:rPr>
          <w:rFonts w:asciiTheme="minorHAnsi" w:eastAsia="Times New Roman" w:hAnsiTheme="minorHAnsi" w:cstheme="minorHAnsi"/>
          <w:lang w:eastAsia="de-DE"/>
        </w:rPr>
        <w:t xml:space="preserve"> </w:t>
      </w:r>
      <w:r w:rsidRPr="00FF26E3">
        <w:rPr>
          <w:rFonts w:asciiTheme="minorHAnsi" w:eastAsia="Times New Roman" w:hAnsiTheme="minorHAnsi" w:cstheme="minorHAnsi"/>
          <w:lang w:eastAsia="de-DE"/>
        </w:rPr>
        <w:t>abgeschlossen:</w:t>
      </w:r>
    </w:p>
    <w:p w:rsidR="00FF26E3" w:rsidRPr="00AD3A0A" w:rsidRDefault="00FF26E3" w:rsidP="0005128E">
      <w:pPr>
        <w:spacing w:before="12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AD3A0A">
        <w:rPr>
          <w:rFonts w:asciiTheme="minorHAnsi" w:eastAsia="Times New Roman" w:hAnsiTheme="minorHAnsi" w:cstheme="minorHAnsi"/>
          <w:b/>
          <w:lang w:eastAsia="de-DE"/>
        </w:rPr>
        <w:t>Präambel</w:t>
      </w:r>
    </w:p>
    <w:p w:rsidR="00FF26E3" w:rsidRDefault="00FF26E3" w:rsidP="00AD3A0A">
      <w:pPr>
        <w:spacing w:before="120"/>
        <w:jc w:val="both"/>
        <w:rPr>
          <w:rFonts w:asciiTheme="minorHAnsi" w:eastAsia="Times New Roman" w:hAnsiTheme="minorHAnsi" w:cstheme="minorHAnsi"/>
          <w:lang w:eastAsia="de-DE"/>
        </w:rPr>
      </w:pPr>
      <w:r w:rsidRPr="00FF26E3">
        <w:rPr>
          <w:rFonts w:asciiTheme="minorHAnsi" w:eastAsia="Times New Roman" w:hAnsiTheme="minorHAnsi" w:cstheme="minorHAnsi"/>
          <w:lang w:eastAsia="de-DE"/>
        </w:rPr>
        <w:t>Durch diesen Tarifvertrag wollen die Tarifvertragsparteien einen Beitrag zur Zukunfts</w:t>
      </w:r>
      <w:r w:rsidR="00AD3A0A">
        <w:rPr>
          <w:rFonts w:asciiTheme="minorHAnsi" w:eastAsia="Times New Roman" w:hAnsiTheme="minorHAnsi" w:cstheme="minorHAnsi"/>
          <w:lang w:eastAsia="de-DE"/>
        </w:rPr>
        <w:t>-</w:t>
      </w:r>
      <w:r w:rsidRPr="00FF26E3">
        <w:rPr>
          <w:rFonts w:asciiTheme="minorHAnsi" w:eastAsia="Times New Roman" w:hAnsiTheme="minorHAnsi" w:cstheme="minorHAnsi"/>
          <w:lang w:eastAsia="de-DE"/>
        </w:rPr>
        <w:t>sicherung von Medizinischen Fachangestellten/Arzthelferinnen</w:t>
      </w:r>
      <w:r w:rsidRPr="0005128E">
        <w:rPr>
          <w:rFonts w:asciiTheme="minorHAnsi" w:eastAsia="Times New Roman" w:hAnsiTheme="minorHAnsi" w:cstheme="minorHAnsi"/>
          <w:vertAlign w:val="superscript"/>
          <w:lang w:eastAsia="de-DE"/>
        </w:rPr>
        <w:t>1</w:t>
      </w:r>
      <w:r w:rsidRPr="00FF26E3">
        <w:rPr>
          <w:rFonts w:asciiTheme="minorHAnsi" w:eastAsia="Times New Roman" w:hAnsiTheme="minorHAnsi" w:cstheme="minorHAnsi"/>
          <w:lang w:eastAsia="de-DE"/>
        </w:rPr>
        <w:t xml:space="preserve"> im Alter leisten, indem sie</w:t>
      </w:r>
      <w:r>
        <w:rPr>
          <w:rFonts w:asciiTheme="minorHAnsi" w:eastAsia="Times New Roman" w:hAnsiTheme="minorHAnsi" w:cstheme="minorHAnsi"/>
          <w:lang w:eastAsia="de-DE"/>
        </w:rPr>
        <w:t xml:space="preserve"> </w:t>
      </w:r>
      <w:r w:rsidRPr="00FF26E3">
        <w:rPr>
          <w:rFonts w:asciiTheme="minorHAnsi" w:eastAsia="Times New Roman" w:hAnsiTheme="minorHAnsi" w:cstheme="minorHAnsi"/>
          <w:lang w:eastAsia="de-DE"/>
        </w:rPr>
        <w:t>die Möglichkeit zum Aufbau einer zusätzlichen kapitalgedeckten Altersversorgung schaffen.</w:t>
      </w:r>
    </w:p>
    <w:p w:rsidR="00FF26E3" w:rsidRPr="00AD3A0A" w:rsidRDefault="00FF26E3" w:rsidP="0047579A">
      <w:pPr>
        <w:spacing w:before="24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AD3A0A">
        <w:rPr>
          <w:rFonts w:asciiTheme="minorHAnsi" w:eastAsia="Times New Roman" w:hAnsiTheme="minorHAnsi" w:cstheme="minorHAnsi"/>
          <w:b/>
          <w:lang w:eastAsia="de-DE"/>
        </w:rPr>
        <w:t>§ 1</w:t>
      </w:r>
    </w:p>
    <w:p w:rsidR="00FF26E3" w:rsidRPr="00AD3A0A" w:rsidRDefault="00FF26E3" w:rsidP="0005128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AD3A0A">
        <w:rPr>
          <w:rFonts w:asciiTheme="minorHAnsi" w:eastAsia="Times New Roman" w:hAnsiTheme="minorHAnsi" w:cstheme="minorHAnsi"/>
          <w:b/>
          <w:lang w:eastAsia="de-DE"/>
        </w:rPr>
        <w:t>Geltungsbereich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0"/>
      </w:tblGrid>
      <w:tr w:rsidR="0005128E" w:rsidTr="00630AC5">
        <w:tc>
          <w:tcPr>
            <w:tcW w:w="567" w:type="dxa"/>
          </w:tcPr>
          <w:p w:rsidR="0005128E" w:rsidRDefault="00AD3A0A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(1)</w:t>
            </w:r>
          </w:p>
        </w:tc>
        <w:tc>
          <w:tcPr>
            <w:tcW w:w="8500" w:type="dxa"/>
          </w:tcPr>
          <w:p w:rsidR="0005128E" w:rsidRDefault="0005128E" w:rsidP="00AD3A0A">
            <w:pPr>
              <w:spacing w:before="120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Dieser Tarifvertrag gilt für Medizinische Fachangestellte/Arzthelferinnen, die im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Bundesgebiet in Einrichtungen der ambulanten Versorgung tätig sind.</w:t>
            </w:r>
          </w:p>
        </w:tc>
      </w:tr>
      <w:tr w:rsidR="0005128E" w:rsidTr="00630AC5">
        <w:tc>
          <w:tcPr>
            <w:tcW w:w="567" w:type="dxa"/>
          </w:tcPr>
          <w:p w:rsidR="0005128E" w:rsidRDefault="00AD3A0A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(2)</w:t>
            </w:r>
          </w:p>
        </w:tc>
        <w:tc>
          <w:tcPr>
            <w:tcW w:w="8500" w:type="dxa"/>
          </w:tcPr>
          <w:p w:rsidR="0005128E" w:rsidRDefault="0005128E" w:rsidP="00AD3A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Medizinische Fachangestellte/Arzthelferinnen im Sinne des Tarifvertrages sind die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Angestellten, deren Tätigkeit dem Berufsbild der Medizinischen Fachangestellten/</w:t>
            </w:r>
            <w:r w:rsidR="00AD3A0A"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Arzthelferin entspricht und die die entsprechende Prüfung vor der Ärztekammer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bestanden haben.</w:t>
            </w:r>
          </w:p>
          <w:p w:rsidR="0005128E" w:rsidRPr="00FF26E3" w:rsidRDefault="0005128E" w:rsidP="00AD3A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Sprechstundenschwestern und Sprechstundenhelferinnen sowie staatlich geprüfte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Kranken- und Kinderkrankenschwestern/Gesundheits- und Krankenpflegerinnen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und Gesundheits- und Kinderkrankenpflegerinnen sind Medizinischen Fachangestellten/</w:t>
            </w:r>
            <w:r w:rsidR="00AD3A0A"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Arzthelferinnen im Sinne dieses Tarifvertrages gleichgestellt, sofern sie eine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solche Tätigkeit ausüben.</w:t>
            </w:r>
          </w:p>
        </w:tc>
      </w:tr>
      <w:tr w:rsidR="0005128E" w:rsidTr="00630AC5">
        <w:tc>
          <w:tcPr>
            <w:tcW w:w="567" w:type="dxa"/>
          </w:tcPr>
          <w:p w:rsidR="0005128E" w:rsidRDefault="00AD3A0A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(3)</w:t>
            </w:r>
          </w:p>
        </w:tc>
        <w:tc>
          <w:tcPr>
            <w:tcW w:w="8500" w:type="dxa"/>
          </w:tcPr>
          <w:p w:rsidR="0005128E" w:rsidRPr="00FF26E3" w:rsidRDefault="0005128E" w:rsidP="00AD3A0A">
            <w:pPr>
              <w:spacing w:before="120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Dieser Tarifvertrag gilt entsprechend auch für Auszubildende.</w:t>
            </w:r>
          </w:p>
        </w:tc>
      </w:tr>
    </w:tbl>
    <w:p w:rsidR="00FF26E3" w:rsidRPr="00AD3A0A" w:rsidRDefault="00AD3A0A" w:rsidP="00AD3A0A">
      <w:pPr>
        <w:spacing w:before="2640"/>
        <w:rPr>
          <w:rFonts w:asciiTheme="minorHAnsi" w:eastAsia="Times New Roman" w:hAnsiTheme="minorHAnsi" w:cstheme="minorHAnsi"/>
          <w:sz w:val="16"/>
          <w:lang w:eastAsia="de-DE"/>
        </w:rPr>
      </w:pPr>
      <w:r>
        <w:rPr>
          <w:rFonts w:asciiTheme="minorHAnsi" w:eastAsia="Times New Roman" w:hAnsiTheme="minorHAnsi" w:cstheme="minorHAnsi"/>
          <w:sz w:val="16"/>
          <w:lang w:eastAsia="de-DE"/>
        </w:rPr>
        <w:t>________________________________</w:t>
      </w:r>
    </w:p>
    <w:p w:rsidR="00FF26E3" w:rsidRDefault="00FF26E3" w:rsidP="00FF26E3">
      <w:pPr>
        <w:rPr>
          <w:rFonts w:asciiTheme="minorHAnsi" w:eastAsia="Times New Roman" w:hAnsiTheme="minorHAnsi" w:cstheme="minorHAnsi"/>
          <w:sz w:val="18"/>
          <w:lang w:eastAsia="de-DE"/>
        </w:rPr>
      </w:pPr>
      <w:r w:rsidRPr="00AD3A0A">
        <w:rPr>
          <w:rFonts w:asciiTheme="minorHAnsi" w:eastAsia="Times New Roman" w:hAnsiTheme="minorHAnsi" w:cstheme="minorHAnsi"/>
          <w:vertAlign w:val="superscript"/>
          <w:lang w:eastAsia="de-DE"/>
        </w:rPr>
        <w:t>1</w:t>
      </w:r>
      <w:r w:rsidRPr="00FF26E3">
        <w:rPr>
          <w:rFonts w:asciiTheme="minorHAnsi" w:eastAsia="Times New Roman" w:hAnsiTheme="minorHAnsi" w:cstheme="minorHAnsi"/>
          <w:lang w:eastAsia="de-DE"/>
        </w:rPr>
        <w:t xml:space="preserve"> </w:t>
      </w:r>
      <w:r w:rsidRPr="00AD3A0A">
        <w:rPr>
          <w:rFonts w:asciiTheme="minorHAnsi" w:eastAsia="Times New Roman" w:hAnsiTheme="minorHAnsi" w:cstheme="minorHAnsi"/>
          <w:sz w:val="18"/>
          <w:lang w:eastAsia="de-DE"/>
        </w:rPr>
        <w:t>Aus Gründen der besseren Lesbarkeit wird bei der Verwendung der Begriffe Arzthelferin, Medizinische Fachangestellte, Arbeitgeber und Arzt jeweils die männliche bzw. weibliche Form mitgedacht.</w:t>
      </w:r>
    </w:p>
    <w:p w:rsidR="00AD3A0A" w:rsidRPr="00FF26E3" w:rsidRDefault="00AD3A0A" w:rsidP="00AD3A0A">
      <w:pPr>
        <w:jc w:val="right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>1</w:t>
      </w:r>
    </w:p>
    <w:p w:rsidR="0005128E" w:rsidRDefault="0005128E" w:rsidP="00AD3A0A">
      <w:pPr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br w:type="page"/>
      </w:r>
    </w:p>
    <w:p w:rsidR="0005128E" w:rsidRPr="00AD3A0A" w:rsidRDefault="00FF26E3" w:rsidP="0005128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AD3A0A">
        <w:rPr>
          <w:rFonts w:asciiTheme="minorHAnsi" w:eastAsia="Times New Roman" w:hAnsiTheme="minorHAnsi" w:cstheme="minorHAnsi"/>
          <w:b/>
          <w:lang w:eastAsia="de-DE"/>
        </w:rPr>
        <w:lastRenderedPageBreak/>
        <w:t xml:space="preserve">§ 2 </w:t>
      </w:r>
    </w:p>
    <w:p w:rsidR="00FF26E3" w:rsidRPr="00AD3A0A" w:rsidRDefault="00FF26E3" w:rsidP="0005128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AD3A0A">
        <w:rPr>
          <w:rFonts w:asciiTheme="minorHAnsi" w:eastAsia="Times New Roman" w:hAnsiTheme="minorHAnsi" w:cstheme="minorHAnsi"/>
          <w:b/>
          <w:lang w:eastAsia="de-DE"/>
        </w:rPr>
        <w:t>Arbeitgeberbeitrag zur betrieblichen Altersversorgung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0"/>
      </w:tblGrid>
      <w:tr w:rsidR="0005128E" w:rsidTr="00630AC5">
        <w:tc>
          <w:tcPr>
            <w:tcW w:w="567" w:type="dxa"/>
          </w:tcPr>
          <w:p w:rsidR="0005128E" w:rsidRDefault="00AD3A0A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(1)</w:t>
            </w:r>
            <w:bookmarkStart w:id="0" w:name="_GoBack"/>
            <w:bookmarkEnd w:id="0"/>
          </w:p>
        </w:tc>
        <w:tc>
          <w:tcPr>
            <w:tcW w:w="8500" w:type="dxa"/>
          </w:tcPr>
          <w:p w:rsidR="0005128E" w:rsidRDefault="0005128E" w:rsidP="0047579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Die Medizinische Fachangestellte/Arzthelferin erhält zum Aufbau einer betrieblichen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Altersversorgung Leistungen nach § 1 Betriebsrentengesetz (BetrAVG) in Form eines Arbeitgeberbeitrages. Sie hatte bis zum 31.12.2014 die Wahl zwischen einem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Arbeitgeberbeitrag zusätzlich zu den vermögenswirksamen Leistungen gem. § 12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(7) des Manteltarifvertrages (Buchstabe a) oder einem Arbeitgeberbeitrag anstelle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der vermögenswirksamen Leistungen (Buchstabe b).</w:t>
            </w:r>
          </w:p>
          <w:p w:rsidR="0005128E" w:rsidRDefault="0005128E" w:rsidP="0047579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Seit dem 01.01.2015 besteht bei Abschluss eines Vertrages zur betrieblichen Altersversorgung ausschließlich Anspruch auf den Arbeitgeberbeitrag zur betrieblic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>h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 xml:space="preserve">en Altersversorgung gem. Buchstabe b). Verträge zur betrieblichen Altersvorsorge, die neben einer Anlagevereinbarung über tarifliche </w:t>
            </w:r>
            <w:proofErr w:type="spellStart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ver</w:t>
            </w:r>
            <w:r w:rsidR="006207B3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mögenswirksame</w:t>
            </w:r>
            <w:proofErr w:type="spellEnd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 xml:space="preserve"> Leistungen vor dem 01.01.2015 abgeschlossen wurden sind weiter mit dem Arbeitgeberbeitrag entsprechend Buchstabe a) zu bedienen. Endet die Anlagevereinbarung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über die tariflichen vermögenswirksamen Leistungen besteht ein Anspruch auf den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erhöhten Arbeitgeberbeitrag gem. Buchstabe b)</w:t>
            </w:r>
            <w:r w:rsidR="006207B3">
              <w:rPr>
                <w:rFonts w:asciiTheme="minorHAnsi" w:eastAsia="Times New Roman" w:hAnsiTheme="minorHAnsi" w:cstheme="minorHAnsi"/>
                <w:lang w:eastAsia="de-DE"/>
              </w:rPr>
              <w:t>.</w:t>
            </w:r>
          </w:p>
        </w:tc>
      </w:tr>
      <w:tr w:rsidR="0005128E" w:rsidTr="00630AC5">
        <w:tc>
          <w:tcPr>
            <w:tcW w:w="567" w:type="dxa"/>
          </w:tcPr>
          <w:p w:rsidR="0005128E" w:rsidRDefault="0005128E" w:rsidP="0047579A">
            <w:pPr>
              <w:spacing w:before="12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8500" w:type="dxa"/>
          </w:tcPr>
          <w:p w:rsidR="0005128E" w:rsidRPr="00FF26E3" w:rsidRDefault="0005128E" w:rsidP="0047579A">
            <w:pPr>
              <w:spacing w:before="120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Der Arbeitgeberbeitrag ist wie folgt gestaffelt:</w:t>
            </w:r>
          </w:p>
        </w:tc>
      </w:tr>
      <w:tr w:rsidR="0005128E" w:rsidTr="00630AC5">
        <w:tc>
          <w:tcPr>
            <w:tcW w:w="567" w:type="dxa"/>
          </w:tcPr>
          <w:p w:rsidR="0005128E" w:rsidRDefault="0005128E" w:rsidP="0047579A">
            <w:pPr>
              <w:spacing w:before="12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8500" w:type="dxa"/>
          </w:tcPr>
          <w:p w:rsidR="0005128E" w:rsidRDefault="0005128E" w:rsidP="0047579A">
            <w:pPr>
              <w:spacing w:before="120"/>
              <w:ind w:left="321" w:hanging="321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a)</w:t>
            </w:r>
            <w:r w:rsidR="00AD3A0A">
              <w:rPr>
                <w:rFonts w:asciiTheme="minorHAnsi" w:eastAsia="Times New Roman" w:hAnsiTheme="minorHAnsi" w:cstheme="minorHAnsi"/>
                <w:lang w:eastAsia="de-DE"/>
              </w:rPr>
              <w:tab/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Zusätzlich zu den vermögenswirksamen Leistungen erhalten:</w:t>
            </w:r>
          </w:p>
          <w:p w:rsidR="00AD3A0A" w:rsidRDefault="0005128E" w:rsidP="006207B3">
            <w:pPr>
              <w:pStyle w:val="Listenabsatz"/>
              <w:numPr>
                <w:ilvl w:val="0"/>
                <w:numId w:val="6"/>
              </w:numPr>
              <w:ind w:left="321" w:hanging="284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AD3A0A">
              <w:rPr>
                <w:rFonts w:asciiTheme="minorHAnsi" w:eastAsia="Times New Roman" w:hAnsiTheme="minorHAnsi" w:cstheme="minorHAnsi"/>
                <w:lang w:eastAsia="de-DE"/>
              </w:rPr>
              <w:t>vollzeitbeschäftigte Arbeitnehmerinnen und teilzeitbeschäftigte Arbeitnehmerin</w:t>
            </w:r>
            <w:r w:rsidR="00AD3A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proofErr w:type="spellStart"/>
            <w:r w:rsidRPr="00AD3A0A">
              <w:rPr>
                <w:rFonts w:asciiTheme="minorHAnsi" w:eastAsia="Times New Roman" w:hAnsiTheme="minorHAnsi" w:cstheme="minorHAnsi"/>
                <w:lang w:eastAsia="de-DE"/>
              </w:rPr>
              <w:t>nen</w:t>
            </w:r>
            <w:proofErr w:type="spellEnd"/>
            <w:r w:rsidRPr="00AD3A0A">
              <w:rPr>
                <w:rFonts w:asciiTheme="minorHAnsi" w:eastAsia="Times New Roman" w:hAnsiTheme="minorHAnsi" w:cstheme="minorHAnsi"/>
                <w:lang w:eastAsia="de-DE"/>
              </w:rPr>
              <w:t xml:space="preserve"> mit einer regelmäßigen durchschnittlichen Arbeitszeit von 18 Stunden wöchentlich und mehr 40 Euro monatlich,</w:t>
            </w:r>
          </w:p>
          <w:p w:rsidR="00AD3A0A" w:rsidRDefault="0005128E" w:rsidP="0047579A">
            <w:pPr>
              <w:pStyle w:val="Listenabsatz"/>
              <w:numPr>
                <w:ilvl w:val="0"/>
                <w:numId w:val="6"/>
              </w:numPr>
              <w:spacing w:before="120"/>
              <w:ind w:left="321" w:hanging="284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AD3A0A">
              <w:rPr>
                <w:rFonts w:asciiTheme="minorHAnsi" w:eastAsia="Times New Roman" w:hAnsiTheme="minorHAnsi" w:cstheme="minorHAnsi"/>
                <w:lang w:eastAsia="de-DE"/>
              </w:rPr>
              <w:t>teilzeitbeschäftigte Arbeitnehmerinnen mit einer geringeren als einer regel</w:t>
            </w:r>
            <w:r w:rsidR="00AD3A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AD3A0A">
              <w:rPr>
                <w:rFonts w:asciiTheme="minorHAnsi" w:eastAsia="Times New Roman" w:hAnsiTheme="minorHAnsi" w:cstheme="minorHAnsi"/>
                <w:lang w:eastAsia="de-DE"/>
              </w:rPr>
              <w:t>mäßigen durchschnittlichen Arbeitszeit von 18 Stunden wöchentlich 25 Euro monatlich,</w:t>
            </w:r>
          </w:p>
          <w:p w:rsidR="0005128E" w:rsidRPr="00AD3A0A" w:rsidRDefault="0005128E" w:rsidP="0047579A">
            <w:pPr>
              <w:pStyle w:val="Listenabsatz"/>
              <w:numPr>
                <w:ilvl w:val="0"/>
                <w:numId w:val="6"/>
              </w:numPr>
              <w:spacing w:before="120"/>
              <w:ind w:left="321" w:hanging="284"/>
              <w:rPr>
                <w:rFonts w:asciiTheme="minorHAnsi" w:eastAsia="Times New Roman" w:hAnsiTheme="minorHAnsi" w:cstheme="minorHAnsi"/>
                <w:lang w:eastAsia="de-DE"/>
              </w:rPr>
            </w:pPr>
            <w:r w:rsidRPr="00AD3A0A">
              <w:rPr>
                <w:rFonts w:asciiTheme="minorHAnsi" w:eastAsia="Times New Roman" w:hAnsiTheme="minorHAnsi" w:cstheme="minorHAnsi"/>
                <w:lang w:eastAsia="de-DE"/>
              </w:rPr>
              <w:t>Auszubildende nach der Probezeit 35 Euro monatlich.</w:t>
            </w:r>
          </w:p>
          <w:p w:rsidR="0005128E" w:rsidRDefault="0005128E" w:rsidP="006207B3">
            <w:pPr>
              <w:spacing w:before="120"/>
              <w:ind w:left="321" w:hanging="321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b)</w:t>
            </w:r>
            <w:r w:rsidR="00AD3A0A">
              <w:rPr>
                <w:rFonts w:asciiTheme="minorHAnsi" w:eastAsia="Times New Roman" w:hAnsiTheme="minorHAnsi" w:cstheme="minorHAnsi"/>
                <w:lang w:eastAsia="de-DE"/>
              </w:rPr>
              <w:tab/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Anstelle der vermögenswirksamen Leistungen erhalten:</w:t>
            </w:r>
          </w:p>
          <w:p w:rsidR="00AD3A0A" w:rsidRDefault="0005128E" w:rsidP="006207B3">
            <w:pPr>
              <w:pStyle w:val="Listenabsatz"/>
              <w:numPr>
                <w:ilvl w:val="0"/>
                <w:numId w:val="6"/>
              </w:numPr>
              <w:ind w:left="321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AD3A0A">
              <w:rPr>
                <w:rFonts w:asciiTheme="minorHAnsi" w:eastAsia="Times New Roman" w:hAnsiTheme="minorHAnsi" w:cstheme="minorHAnsi"/>
                <w:lang w:eastAsia="de-DE"/>
              </w:rPr>
              <w:t>vollzeitbeschäftigte Arbeitnehmerinnen und teilzeitbeschäftigte Arbeitnehmerin</w:t>
            </w:r>
            <w:r w:rsidR="00AD3A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proofErr w:type="spellStart"/>
            <w:r w:rsidRPr="00AD3A0A">
              <w:rPr>
                <w:rFonts w:asciiTheme="minorHAnsi" w:eastAsia="Times New Roman" w:hAnsiTheme="minorHAnsi" w:cstheme="minorHAnsi"/>
                <w:lang w:eastAsia="de-DE"/>
              </w:rPr>
              <w:t>nen</w:t>
            </w:r>
            <w:proofErr w:type="spellEnd"/>
            <w:r w:rsidRPr="00AD3A0A">
              <w:rPr>
                <w:rFonts w:asciiTheme="minorHAnsi" w:eastAsia="Times New Roman" w:hAnsiTheme="minorHAnsi" w:cstheme="minorHAnsi"/>
                <w:lang w:eastAsia="de-DE"/>
              </w:rPr>
              <w:t xml:space="preserve"> mit einer regelmäßigen durchschnittlichen Arbeitszeit von 18 Stunden wöchentlich und mehr 76 Euro monatlich,</w:t>
            </w:r>
          </w:p>
          <w:p w:rsidR="00AD3A0A" w:rsidRDefault="0005128E" w:rsidP="0047579A">
            <w:pPr>
              <w:pStyle w:val="Listenabsatz"/>
              <w:numPr>
                <w:ilvl w:val="0"/>
                <w:numId w:val="6"/>
              </w:numPr>
              <w:spacing w:before="120"/>
              <w:ind w:left="321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AD3A0A">
              <w:rPr>
                <w:rFonts w:asciiTheme="minorHAnsi" w:eastAsia="Times New Roman" w:hAnsiTheme="minorHAnsi" w:cstheme="minorHAnsi"/>
                <w:lang w:eastAsia="de-DE"/>
              </w:rPr>
              <w:t>teilzeitbeschäftigte Arbeitnehmerinnen mit einer geringeren als einer regel</w:t>
            </w:r>
            <w:r w:rsidR="00AD3A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AD3A0A">
              <w:rPr>
                <w:rFonts w:asciiTheme="minorHAnsi" w:eastAsia="Times New Roman" w:hAnsiTheme="minorHAnsi" w:cstheme="minorHAnsi"/>
                <w:lang w:eastAsia="de-DE"/>
              </w:rPr>
              <w:t>mäßigen durchschnittlichen Arbeitszeit von 18 Stunden wöchentlich 43 Euro monatlich,</w:t>
            </w:r>
          </w:p>
          <w:p w:rsidR="0005128E" w:rsidRPr="00AD3A0A" w:rsidRDefault="0005128E" w:rsidP="0047579A">
            <w:pPr>
              <w:pStyle w:val="Listenabsatz"/>
              <w:numPr>
                <w:ilvl w:val="0"/>
                <w:numId w:val="6"/>
              </w:numPr>
              <w:spacing w:before="120"/>
              <w:ind w:left="321"/>
              <w:rPr>
                <w:rFonts w:asciiTheme="minorHAnsi" w:eastAsia="Times New Roman" w:hAnsiTheme="minorHAnsi" w:cstheme="minorHAnsi"/>
                <w:lang w:eastAsia="de-DE"/>
              </w:rPr>
            </w:pPr>
            <w:r w:rsidRPr="00AD3A0A">
              <w:rPr>
                <w:rFonts w:asciiTheme="minorHAnsi" w:eastAsia="Times New Roman" w:hAnsiTheme="minorHAnsi" w:cstheme="minorHAnsi"/>
                <w:lang w:eastAsia="de-DE"/>
              </w:rPr>
              <w:t>Auszubildende nach der Probezeit 53 Euro monatlich.</w:t>
            </w:r>
          </w:p>
        </w:tc>
      </w:tr>
      <w:tr w:rsidR="0005128E" w:rsidTr="00630AC5">
        <w:tc>
          <w:tcPr>
            <w:tcW w:w="567" w:type="dxa"/>
          </w:tcPr>
          <w:p w:rsidR="0005128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(2)</w:t>
            </w:r>
          </w:p>
        </w:tc>
        <w:tc>
          <w:tcPr>
            <w:tcW w:w="8500" w:type="dxa"/>
          </w:tcPr>
          <w:p w:rsidR="0005128E" w:rsidRPr="00FF26E3" w:rsidRDefault="0005128E" w:rsidP="0047579A">
            <w:pPr>
              <w:spacing w:before="120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(Aufgehoben</w:t>
            </w:r>
          </w:p>
        </w:tc>
      </w:tr>
      <w:tr w:rsidR="0005128E" w:rsidTr="00630AC5">
        <w:tc>
          <w:tcPr>
            <w:tcW w:w="567" w:type="dxa"/>
          </w:tcPr>
          <w:p w:rsidR="0005128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(3)</w:t>
            </w:r>
          </w:p>
        </w:tc>
        <w:tc>
          <w:tcPr>
            <w:tcW w:w="8500" w:type="dxa"/>
          </w:tcPr>
          <w:p w:rsidR="0005128E" w:rsidRDefault="0005128E" w:rsidP="0047579A">
            <w:pPr>
              <w:spacing w:before="120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(Aufgehoben)</w:t>
            </w:r>
          </w:p>
        </w:tc>
      </w:tr>
    </w:tbl>
    <w:p w:rsidR="005E660A" w:rsidRPr="005E660A" w:rsidRDefault="005E660A" w:rsidP="005E660A">
      <w:pPr>
        <w:spacing w:before="2520"/>
        <w:jc w:val="right"/>
        <w:rPr>
          <w:rFonts w:asciiTheme="minorHAnsi" w:hAnsiTheme="minorHAnsi"/>
        </w:rPr>
      </w:pPr>
      <w:r w:rsidRPr="005E660A">
        <w:rPr>
          <w:rFonts w:asciiTheme="minorHAnsi" w:hAnsiTheme="minorHAnsi"/>
        </w:rPr>
        <w:t>2</w:t>
      </w:r>
    </w:p>
    <w:tbl>
      <w:tblPr>
        <w:tblStyle w:val="Tabellenraster"/>
        <w:tblW w:w="9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8419"/>
      </w:tblGrid>
      <w:tr w:rsidR="0047579A" w:rsidTr="00630AC5">
        <w:trPr>
          <w:trHeight w:val="3007"/>
        </w:trPr>
        <w:tc>
          <w:tcPr>
            <w:tcW w:w="567" w:type="dxa"/>
          </w:tcPr>
          <w:p w:rsidR="0047579A" w:rsidRDefault="0047579A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lastRenderedPageBreak/>
              <w:t>(4)</w:t>
            </w:r>
          </w:p>
        </w:tc>
        <w:tc>
          <w:tcPr>
            <w:tcW w:w="8457" w:type="dxa"/>
          </w:tcPr>
          <w:p w:rsidR="0047579A" w:rsidRDefault="0047579A" w:rsidP="0047579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 xml:space="preserve">Der Anspruch besteht für jeden Kalendermonat, in dem die Medizinische </w:t>
            </w:r>
            <w:proofErr w:type="spellStart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Fachan</w:t>
            </w:r>
            <w:proofErr w:type="spellEnd"/>
            <w:r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gestellte/Arzthelferin Anspruch auf Entgelt hat.</w:t>
            </w:r>
          </w:p>
          <w:p w:rsidR="0047579A" w:rsidRDefault="0047579A" w:rsidP="0047579A">
            <w:pPr>
              <w:spacing w:before="120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Als Zeiten mit Entgeltanspruch gelten insbesondere:</w:t>
            </w:r>
          </w:p>
          <w:p w:rsidR="0047579A" w:rsidRPr="005451FF" w:rsidRDefault="0047579A" w:rsidP="0047579A">
            <w:pPr>
              <w:pStyle w:val="Listenabsatz"/>
              <w:numPr>
                <w:ilvl w:val="0"/>
                <w:numId w:val="7"/>
              </w:numPr>
              <w:spacing w:before="120"/>
              <w:ind w:left="321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5451FF">
              <w:rPr>
                <w:rFonts w:asciiTheme="minorHAnsi" w:eastAsia="Times New Roman" w:hAnsiTheme="minorHAnsi" w:cstheme="minorHAnsi"/>
                <w:lang w:eastAsia="de-DE"/>
              </w:rPr>
              <w:t>Zeiten, für die der Arbeitnehmerin Anspruch auf Fortzahlung des Entgeltes zusteht (z.B. Urlaub, entschädigungspflichtige Arbeitsverhinderung),</w:t>
            </w:r>
          </w:p>
          <w:p w:rsidR="0047579A" w:rsidRPr="005451FF" w:rsidRDefault="0047579A" w:rsidP="0047579A">
            <w:pPr>
              <w:pStyle w:val="Listenabsatz"/>
              <w:numPr>
                <w:ilvl w:val="0"/>
                <w:numId w:val="7"/>
              </w:numPr>
              <w:spacing w:before="120"/>
              <w:ind w:left="321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5451FF">
              <w:rPr>
                <w:rFonts w:asciiTheme="minorHAnsi" w:eastAsia="Times New Roman" w:hAnsiTheme="minorHAnsi" w:cstheme="minorHAnsi"/>
                <w:lang w:eastAsia="de-DE"/>
              </w:rPr>
              <w:t>Zeiten der Arbeitsunfähigkeit aufgrund Erkrankung bis zu sechs Wochen je Krankheitsfall, einschl. möglicher Folgeerkrankungen,</w:t>
            </w:r>
          </w:p>
          <w:p w:rsidR="0047579A" w:rsidRDefault="0047579A" w:rsidP="0047579A">
            <w:pPr>
              <w:pStyle w:val="Listenabsatz"/>
              <w:numPr>
                <w:ilvl w:val="0"/>
                <w:numId w:val="7"/>
              </w:numPr>
              <w:spacing w:before="120"/>
              <w:ind w:left="321"/>
              <w:rPr>
                <w:rFonts w:asciiTheme="minorHAnsi" w:eastAsia="Times New Roman" w:hAnsiTheme="minorHAnsi" w:cstheme="minorHAnsi"/>
                <w:lang w:eastAsia="de-DE"/>
              </w:rPr>
            </w:pPr>
            <w:r w:rsidRPr="005451FF">
              <w:rPr>
                <w:rFonts w:asciiTheme="minorHAnsi" w:eastAsia="Times New Roman" w:hAnsiTheme="minorHAnsi" w:cstheme="minorHAnsi"/>
                <w:lang w:eastAsia="de-DE"/>
              </w:rPr>
              <w:t>Zeiten der Arbeitsunfähigkeit infolge von Arbeitsunfällen,</w:t>
            </w:r>
          </w:p>
          <w:p w:rsidR="0047579A" w:rsidRPr="005451FF" w:rsidRDefault="0047579A" w:rsidP="0047579A">
            <w:pPr>
              <w:pStyle w:val="Listenabsatz"/>
              <w:numPr>
                <w:ilvl w:val="0"/>
                <w:numId w:val="7"/>
              </w:numPr>
              <w:spacing w:before="120"/>
              <w:ind w:left="321"/>
              <w:rPr>
                <w:rFonts w:asciiTheme="minorHAnsi" w:eastAsia="Times New Roman" w:hAnsiTheme="minorHAnsi" w:cstheme="minorHAnsi"/>
                <w:lang w:eastAsia="de-DE"/>
              </w:rPr>
            </w:pPr>
            <w:r w:rsidRPr="005451FF">
              <w:rPr>
                <w:rFonts w:asciiTheme="minorHAnsi" w:eastAsia="Times New Roman" w:hAnsiTheme="minorHAnsi" w:cstheme="minorHAnsi"/>
                <w:lang w:eastAsia="de-DE"/>
              </w:rPr>
              <w:t>Zeiten des Bezugs von Mutterschaftsgeld.</w:t>
            </w:r>
          </w:p>
        </w:tc>
      </w:tr>
      <w:tr w:rsidR="0005128E" w:rsidTr="00630AC5">
        <w:tc>
          <w:tcPr>
            <w:tcW w:w="567" w:type="dxa"/>
          </w:tcPr>
          <w:p w:rsidR="0005128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(5)</w:t>
            </w:r>
          </w:p>
        </w:tc>
        <w:tc>
          <w:tcPr>
            <w:tcW w:w="8457" w:type="dxa"/>
          </w:tcPr>
          <w:p w:rsidR="0005128E" w:rsidRPr="00FF26E3" w:rsidRDefault="0005128E" w:rsidP="0047579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Zu den Zeiten ohne Anspruch auf Arbeitsentgelt zählen insbesondere Zeiten der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Elternzeit, sofern keine Teilzeitbeschäftigung ausgeübt wird.</w:t>
            </w:r>
          </w:p>
        </w:tc>
      </w:tr>
      <w:tr w:rsidR="0005128E" w:rsidTr="00630AC5">
        <w:tc>
          <w:tcPr>
            <w:tcW w:w="567" w:type="dxa"/>
          </w:tcPr>
          <w:p w:rsidR="0005128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(6)</w:t>
            </w:r>
          </w:p>
        </w:tc>
        <w:tc>
          <w:tcPr>
            <w:tcW w:w="8457" w:type="dxa"/>
          </w:tcPr>
          <w:p w:rsidR="0005128E" w:rsidRPr="00FF26E3" w:rsidRDefault="0005128E" w:rsidP="0047579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Beginnt oder endet das Beschäftigungsverhältnis im Laufe eines Kalendermonats,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so besteht für diesen Monat ein Anspruch auf den Arbeitgeberbeitrag zur betrieblichen Altersversorgung, wenn das Arbeitsverhältnis mindestens 15 Kalendertage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besteht.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Der Arbeitgeberbeitrag ist in diesem Fall in voller Höhe von dem Arbeitgeber zu entrichten.</w:t>
            </w:r>
          </w:p>
        </w:tc>
      </w:tr>
      <w:tr w:rsidR="0005128E" w:rsidTr="00630AC5">
        <w:tc>
          <w:tcPr>
            <w:tcW w:w="567" w:type="dxa"/>
          </w:tcPr>
          <w:p w:rsidR="0005128E" w:rsidRDefault="005451FF" w:rsidP="0047579A">
            <w:pPr>
              <w:spacing w:before="120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(7)</w:t>
            </w:r>
          </w:p>
        </w:tc>
        <w:tc>
          <w:tcPr>
            <w:tcW w:w="8457" w:type="dxa"/>
          </w:tcPr>
          <w:p w:rsidR="0005128E" w:rsidRPr="00FF26E3" w:rsidRDefault="0005128E" w:rsidP="0047579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Beginnt oder endet die Elternzeit im Laufe eines Kalendermonats, so besteht für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diesen Monat ein Anspruch auf den Arbeitgeberbeitrag, wenn für mindestens 15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Kalendertage ein Anspruch auf Mutterschaftsgeld oder Entgelt besteht.</w:t>
            </w:r>
          </w:p>
        </w:tc>
      </w:tr>
      <w:tr w:rsidR="0005128E" w:rsidTr="00630AC5">
        <w:tc>
          <w:tcPr>
            <w:tcW w:w="567" w:type="dxa"/>
          </w:tcPr>
          <w:p w:rsidR="0005128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(8)</w:t>
            </w:r>
          </w:p>
        </w:tc>
        <w:tc>
          <w:tcPr>
            <w:tcW w:w="8457" w:type="dxa"/>
          </w:tcPr>
          <w:p w:rsidR="0005128E" w:rsidRPr="00FF26E3" w:rsidRDefault="0005128E" w:rsidP="0047579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Bei Wechsel des vereinbarten wöchentlichen Stundenumfanges im laufenden Kalendermonat ist für diesen Monat, soweit der Stundenwechsel sich auf die Höhe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des Altersversorgungsbetrages gem. Abs. 1 auswirkt, der höhere Beitrag von dem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Arbeitgeber zu entrichten.</w:t>
            </w:r>
          </w:p>
        </w:tc>
      </w:tr>
      <w:tr w:rsidR="0005128E" w:rsidTr="00630AC5">
        <w:tc>
          <w:tcPr>
            <w:tcW w:w="567" w:type="dxa"/>
          </w:tcPr>
          <w:p w:rsidR="0005128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(9)</w:t>
            </w:r>
          </w:p>
        </w:tc>
        <w:tc>
          <w:tcPr>
            <w:tcW w:w="8457" w:type="dxa"/>
          </w:tcPr>
          <w:p w:rsidR="0005128E" w:rsidRPr="00FF26E3" w:rsidRDefault="0005128E" w:rsidP="0047579A">
            <w:pPr>
              <w:spacing w:before="120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Bisher bestehende und vom Arbeitgeber freiwillig gezahlte Arbeitgeberbeiträge, die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für den Aufbau einer betrieblichen Altersversorgung verwendet werden, dürfen auf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den unter Abs. 1 geregelten Arbeitgeberbeitrag nicht angerechnet werden.</w:t>
            </w:r>
          </w:p>
        </w:tc>
      </w:tr>
      <w:tr w:rsidR="0005128E" w:rsidTr="00630AC5">
        <w:tc>
          <w:tcPr>
            <w:tcW w:w="567" w:type="dxa"/>
          </w:tcPr>
          <w:p w:rsidR="0005128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(10)</w:t>
            </w:r>
          </w:p>
        </w:tc>
        <w:tc>
          <w:tcPr>
            <w:tcW w:w="8457" w:type="dxa"/>
          </w:tcPr>
          <w:p w:rsidR="0005128E" w:rsidRPr="00FF26E3" w:rsidRDefault="0005128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Falls durch eine bestehende Entgeltumwandlung einer Arbeitnehmerin bereits der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Förderungshöchstbetrag nach § 3 Nr. 63 EStG ausgeschöpft wird, ist diese Entgelt</w:t>
            </w:r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umwandlung auf Wunsch der Arbeitnehmerin so zu reduzieren, dass der Arbeit</w:t>
            </w:r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proofErr w:type="spellStart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geberbeitrag</w:t>
            </w:r>
            <w:proofErr w:type="spellEnd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 xml:space="preserve"> von dieser Arbeitnehmerin steuerfrei genutzt werden kann.</w:t>
            </w:r>
          </w:p>
        </w:tc>
      </w:tr>
      <w:tr w:rsidR="0005128E" w:rsidTr="00630AC5">
        <w:tc>
          <w:tcPr>
            <w:tcW w:w="567" w:type="dxa"/>
          </w:tcPr>
          <w:p w:rsidR="0005128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(11)</w:t>
            </w:r>
          </w:p>
        </w:tc>
        <w:tc>
          <w:tcPr>
            <w:tcW w:w="8457" w:type="dxa"/>
          </w:tcPr>
          <w:p w:rsidR="0005128E" w:rsidRPr="00FF26E3" w:rsidRDefault="0005128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Eine unmittelbare Auszahlung des Arbeitgeberbeitrages zur betrieblichen Alters</w:t>
            </w:r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versorgung an die Arbeitnehmerinnen ist grundsätzlich nicht zulässig.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Eine Auszahlung des Arbeitgeberbeitrages mit dem Gehalt ist auf Wunsch der Arbeit</w:t>
            </w:r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nehmerin möglich, falls sie bei Inkrafttreten dieses Tarifvertrages das 50. Lebensjahr vollendet hat.</w:t>
            </w:r>
          </w:p>
        </w:tc>
      </w:tr>
      <w:tr w:rsidR="0005128E" w:rsidTr="00630AC5">
        <w:tc>
          <w:tcPr>
            <w:tcW w:w="567" w:type="dxa"/>
          </w:tcPr>
          <w:p w:rsidR="0005128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(12)</w:t>
            </w:r>
          </w:p>
        </w:tc>
        <w:tc>
          <w:tcPr>
            <w:tcW w:w="8457" w:type="dxa"/>
          </w:tcPr>
          <w:p w:rsidR="0005128E" w:rsidRPr="00FF26E3" w:rsidRDefault="0005128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Aufgelaufene Arbeitgeberbeiträge sind nachzuzahlen. Dies gilt auch für den drei</w:t>
            </w:r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monatigen Zeitraum zur Ausübung des Wahlrechtes, das bis zum 31.12.2014 Gültigkeit hatte. Der Anspruch auf Nachzahlung für den Zeitraum zur Ausübung des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Wahlrechtes entfällt, wenn die Arbeitnehmerin von ihrem Wahlrecht nicht frist</w:t>
            </w:r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gerecht Gebrauch gemacht hat.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Die Nachzahlung erfolgt so weit möglich in Form der Einmalzahlung in den Altersversorgungsvertrag. Ist dies nicht möglich, ist der Auszahlungsbetrag als Bruttobetrag mit dem Gehalt auszuzahlen.</w:t>
            </w:r>
          </w:p>
        </w:tc>
      </w:tr>
    </w:tbl>
    <w:p w:rsidR="0005128E" w:rsidRDefault="005E660A" w:rsidP="005E660A">
      <w:pPr>
        <w:jc w:val="right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>3</w:t>
      </w:r>
    </w:p>
    <w:p w:rsidR="0005128E" w:rsidRDefault="0005128E">
      <w:pPr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8358"/>
      </w:tblGrid>
      <w:tr w:rsidR="0005128E" w:rsidTr="00630AC5">
        <w:tc>
          <w:tcPr>
            <w:tcW w:w="567" w:type="dxa"/>
          </w:tcPr>
          <w:p w:rsidR="0005128E" w:rsidRDefault="005451FF" w:rsidP="006207B3">
            <w:pPr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lastRenderedPageBreak/>
              <w:t>(13)</w:t>
            </w:r>
          </w:p>
        </w:tc>
        <w:tc>
          <w:tcPr>
            <w:tcW w:w="8358" w:type="dxa"/>
          </w:tcPr>
          <w:p w:rsidR="0005128E" w:rsidRDefault="0005128E" w:rsidP="005E660A">
            <w:pPr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Der Anspruch ist unabdingbar und kann weder abgetreten noch beliehen oder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verpfändet werden.</w:t>
            </w:r>
          </w:p>
        </w:tc>
      </w:tr>
      <w:tr w:rsidR="0005128E" w:rsidTr="00630AC5">
        <w:tc>
          <w:tcPr>
            <w:tcW w:w="567" w:type="dxa"/>
          </w:tcPr>
          <w:p w:rsidR="0005128E" w:rsidRDefault="005451FF" w:rsidP="006207B3">
            <w:pPr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(14)</w:t>
            </w:r>
          </w:p>
        </w:tc>
        <w:tc>
          <w:tcPr>
            <w:tcW w:w="8358" w:type="dxa"/>
          </w:tcPr>
          <w:p w:rsidR="0005128E" w:rsidRPr="00FF26E3" w:rsidRDefault="0005128E" w:rsidP="005E660A">
            <w:pPr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Der Arbeitgeberbeitrag zur betrieblichen Altersversorgung kann nicht für die staatlich geförderte Altersversorgung gem. §§ 10 a, 79 ff. EStG (sog. Riester-Rente)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verwendet werden.</w:t>
            </w:r>
          </w:p>
        </w:tc>
      </w:tr>
    </w:tbl>
    <w:p w:rsidR="0005128E" w:rsidRPr="005451FF" w:rsidRDefault="00FF26E3" w:rsidP="005E660A">
      <w:pPr>
        <w:spacing w:before="24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5451FF">
        <w:rPr>
          <w:rFonts w:asciiTheme="minorHAnsi" w:eastAsia="Times New Roman" w:hAnsiTheme="minorHAnsi" w:cstheme="minorHAnsi"/>
          <w:b/>
          <w:lang w:eastAsia="de-DE"/>
        </w:rPr>
        <w:t xml:space="preserve">§ 3 </w:t>
      </w:r>
    </w:p>
    <w:p w:rsidR="00FF26E3" w:rsidRDefault="005451FF" w:rsidP="0005128E">
      <w:pPr>
        <w:jc w:val="center"/>
        <w:rPr>
          <w:rFonts w:asciiTheme="minorHAnsi" w:eastAsia="Times New Roman" w:hAnsiTheme="minorHAnsi" w:cstheme="minorHAnsi"/>
          <w:lang w:eastAsia="de-DE"/>
        </w:rPr>
      </w:pPr>
      <w:r w:rsidRPr="005451FF">
        <w:rPr>
          <w:rFonts w:asciiTheme="minorHAnsi" w:eastAsia="Times New Roman" w:hAnsiTheme="minorHAnsi" w:cstheme="minorHAnsi"/>
          <w:b/>
          <w:lang w:eastAsia="de-DE"/>
        </w:rPr>
        <w:t>(</w:t>
      </w:r>
      <w:r w:rsidR="00FF26E3" w:rsidRPr="005451FF">
        <w:rPr>
          <w:rFonts w:asciiTheme="minorHAnsi" w:eastAsia="Times New Roman" w:hAnsiTheme="minorHAnsi" w:cstheme="minorHAnsi"/>
          <w:b/>
          <w:lang w:eastAsia="de-DE"/>
        </w:rPr>
        <w:t>Aufgehoben)</w:t>
      </w:r>
    </w:p>
    <w:p w:rsidR="0005128E" w:rsidRPr="005451FF" w:rsidRDefault="00FF26E3" w:rsidP="005E660A">
      <w:pPr>
        <w:spacing w:before="24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5451FF">
        <w:rPr>
          <w:rFonts w:asciiTheme="minorHAnsi" w:eastAsia="Times New Roman" w:hAnsiTheme="minorHAnsi" w:cstheme="minorHAnsi"/>
          <w:b/>
          <w:lang w:eastAsia="de-DE"/>
        </w:rPr>
        <w:t xml:space="preserve">§ 4 </w:t>
      </w:r>
    </w:p>
    <w:p w:rsidR="00FF26E3" w:rsidRPr="005451FF" w:rsidRDefault="00FF26E3" w:rsidP="0005128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5451FF">
        <w:rPr>
          <w:rFonts w:asciiTheme="minorHAnsi" w:eastAsia="Times New Roman" w:hAnsiTheme="minorHAnsi" w:cstheme="minorHAnsi"/>
          <w:b/>
          <w:lang w:eastAsia="de-DE"/>
        </w:rPr>
        <w:t>Fälligkeit des Arbeitgeberbeitrages zur betrieblichen Altersversorgung</w:t>
      </w:r>
    </w:p>
    <w:p w:rsidR="00FF26E3" w:rsidRDefault="00FF26E3" w:rsidP="005E660A">
      <w:pPr>
        <w:spacing w:before="120"/>
        <w:rPr>
          <w:rFonts w:asciiTheme="minorHAnsi" w:eastAsia="Times New Roman" w:hAnsiTheme="minorHAnsi" w:cstheme="minorHAnsi"/>
          <w:lang w:eastAsia="de-DE"/>
        </w:rPr>
      </w:pPr>
      <w:r w:rsidRPr="00FF26E3">
        <w:rPr>
          <w:rFonts w:asciiTheme="minorHAnsi" w:eastAsia="Times New Roman" w:hAnsiTheme="minorHAnsi" w:cstheme="minorHAnsi"/>
          <w:lang w:eastAsia="de-DE"/>
        </w:rPr>
        <w:t>Der Arbeitgeberbeitrag zur betrieblichen Altersversorgung ist monatlich fällig.</w:t>
      </w:r>
    </w:p>
    <w:p w:rsidR="0005128E" w:rsidRPr="005451FF" w:rsidRDefault="00FF26E3" w:rsidP="005E660A">
      <w:pPr>
        <w:spacing w:before="24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5451FF">
        <w:rPr>
          <w:rFonts w:asciiTheme="minorHAnsi" w:eastAsia="Times New Roman" w:hAnsiTheme="minorHAnsi" w:cstheme="minorHAnsi"/>
          <w:b/>
          <w:lang w:eastAsia="de-DE"/>
        </w:rPr>
        <w:t xml:space="preserve">§ 5 </w:t>
      </w:r>
    </w:p>
    <w:p w:rsidR="00FF26E3" w:rsidRPr="005451FF" w:rsidRDefault="00FF26E3" w:rsidP="0005128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5451FF">
        <w:rPr>
          <w:rFonts w:asciiTheme="minorHAnsi" w:eastAsia="Times New Roman" w:hAnsiTheme="minorHAnsi" w:cstheme="minorHAnsi"/>
          <w:b/>
          <w:lang w:eastAsia="de-DE"/>
        </w:rPr>
        <w:t>Anspruch auf Entgeltumwandlung</w:t>
      </w:r>
    </w:p>
    <w:p w:rsidR="00FF26E3" w:rsidRDefault="00FF26E3" w:rsidP="005E660A">
      <w:pPr>
        <w:spacing w:before="120"/>
        <w:jc w:val="both"/>
        <w:rPr>
          <w:rFonts w:asciiTheme="minorHAnsi" w:eastAsia="Times New Roman" w:hAnsiTheme="minorHAnsi" w:cstheme="minorHAnsi"/>
          <w:lang w:eastAsia="de-DE"/>
        </w:rPr>
      </w:pPr>
      <w:r w:rsidRPr="00FF26E3">
        <w:rPr>
          <w:rFonts w:asciiTheme="minorHAnsi" w:eastAsia="Times New Roman" w:hAnsiTheme="minorHAnsi" w:cstheme="minorHAnsi"/>
          <w:lang w:eastAsia="de-DE"/>
        </w:rPr>
        <w:t>Die Medizinische Fachangestellte/Arzthelferin hat im Rahmen der nachfolgenden Be</w:t>
      </w:r>
      <w:r w:rsidR="005451FF">
        <w:rPr>
          <w:rFonts w:asciiTheme="minorHAnsi" w:eastAsia="Times New Roman" w:hAnsiTheme="minorHAnsi" w:cstheme="minorHAnsi"/>
          <w:lang w:eastAsia="de-DE"/>
        </w:rPr>
        <w:t>-</w:t>
      </w:r>
      <w:r w:rsidRPr="00FF26E3">
        <w:rPr>
          <w:rFonts w:asciiTheme="minorHAnsi" w:eastAsia="Times New Roman" w:hAnsiTheme="minorHAnsi" w:cstheme="minorHAnsi"/>
          <w:lang w:eastAsia="de-DE"/>
        </w:rPr>
        <w:t>stimmungen einen Anspruch auf Umwandlung künftiger tariflicher Entgeltbestandteile zugunsten einer Versorgungszusage zum Zwecke der Altersversorgung. Der Medizinischen Fachangestellten/Arzthelferin steht es frei, diesen Anspruch geltend zu machen.</w:t>
      </w:r>
    </w:p>
    <w:p w:rsidR="0005128E" w:rsidRPr="005451FF" w:rsidRDefault="00FF26E3" w:rsidP="005E660A">
      <w:pPr>
        <w:spacing w:before="24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5451FF">
        <w:rPr>
          <w:rFonts w:asciiTheme="minorHAnsi" w:eastAsia="Times New Roman" w:hAnsiTheme="minorHAnsi" w:cstheme="minorHAnsi"/>
          <w:b/>
          <w:lang w:eastAsia="de-DE"/>
        </w:rPr>
        <w:t xml:space="preserve">§ 6 </w:t>
      </w:r>
    </w:p>
    <w:p w:rsidR="00FF26E3" w:rsidRPr="005451FF" w:rsidRDefault="00FF26E3" w:rsidP="0005128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5451FF">
        <w:rPr>
          <w:rFonts w:asciiTheme="minorHAnsi" w:eastAsia="Times New Roman" w:hAnsiTheme="minorHAnsi" w:cstheme="minorHAnsi"/>
          <w:b/>
          <w:lang w:eastAsia="de-DE"/>
        </w:rPr>
        <w:t>Höhe der Entgeltumwandlung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0"/>
      </w:tblGrid>
      <w:tr w:rsidR="0005128E" w:rsidTr="006207B3">
        <w:tc>
          <w:tcPr>
            <w:tcW w:w="567" w:type="dxa"/>
          </w:tcPr>
          <w:p w:rsidR="0005128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(1)</w:t>
            </w:r>
          </w:p>
        </w:tc>
        <w:tc>
          <w:tcPr>
            <w:tcW w:w="8500" w:type="dxa"/>
          </w:tcPr>
          <w:p w:rsidR="0005128E" w:rsidRDefault="0005128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 xml:space="preserve">Die Medizinische Fachangestellte/Arzthelferin kann verlangen, dass von ihren </w:t>
            </w:r>
            <w:proofErr w:type="spellStart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künf</w:t>
            </w:r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tigen</w:t>
            </w:r>
            <w:proofErr w:type="spellEnd"/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Entgeltansprüchen bis zu 4 % der jeweiligen Beitragsbemessungsgrenze der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Rentenversicherung der Arbeiter und Angestellten für betriebliche Altersversorgung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unter Berücksichtigung des Arbeitgeberbeitrages verwendet werden. Bemessungs</w:t>
            </w:r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proofErr w:type="spellStart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grenze</w:t>
            </w:r>
            <w:proofErr w:type="spellEnd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 xml:space="preserve"> ist einheitlich für das gesamte Bundesgebiet die Beitragsbemessungsgrenze West. Bei dieser Entgeltumwandlung darf 1/160 der Bezugsgröße nach § 18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Abs. 1 des Vierten Buches Sozialgesetzbuch</w:t>
            </w:r>
            <w:r w:rsidRPr="005E660A">
              <w:rPr>
                <w:rFonts w:asciiTheme="minorHAnsi" w:eastAsia="Times New Roman" w:hAnsiTheme="minorHAnsi" w:cstheme="minorHAnsi"/>
                <w:vertAlign w:val="superscript"/>
                <w:lang w:eastAsia="de-DE"/>
              </w:rPr>
              <w:t>2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 xml:space="preserve"> nicht unterschritten werden.</w:t>
            </w:r>
          </w:p>
        </w:tc>
      </w:tr>
      <w:tr w:rsidR="0005128E" w:rsidTr="006207B3">
        <w:tc>
          <w:tcPr>
            <w:tcW w:w="567" w:type="dxa"/>
          </w:tcPr>
          <w:p w:rsidR="0005128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(2)</w:t>
            </w:r>
          </w:p>
        </w:tc>
        <w:tc>
          <w:tcPr>
            <w:tcW w:w="8500" w:type="dxa"/>
          </w:tcPr>
          <w:p w:rsidR="0005128E" w:rsidRPr="00FF26E3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Die Einzelheiten werden zwischen Arbeitgeber und Medizinischer Fachangestellten/</w:t>
            </w:r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Arzthelferin auf der Grundlage dieses Tarifvertrages schriftlich vereinbart (</w:t>
            </w:r>
            <w:proofErr w:type="spellStart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Entgeltum</w:t>
            </w:r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wandlungsvereinbarung</w:t>
            </w:r>
            <w:proofErr w:type="spellEnd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).</w:t>
            </w:r>
          </w:p>
        </w:tc>
      </w:tr>
      <w:tr w:rsidR="00452D7E" w:rsidTr="006207B3">
        <w:tc>
          <w:tcPr>
            <w:tcW w:w="567" w:type="dxa"/>
          </w:tcPr>
          <w:p w:rsidR="00452D7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(3)</w:t>
            </w:r>
          </w:p>
        </w:tc>
        <w:tc>
          <w:tcPr>
            <w:tcW w:w="8500" w:type="dxa"/>
          </w:tcPr>
          <w:p w:rsidR="00452D7E" w:rsidRPr="00FF26E3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Macht die Medizinische Fachangestellte/Arzthelferin von der Möglichkeit der Entgelt</w:t>
            </w:r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umwandlung Gebrauch, erhält sie einen Arbeitgeberzuschuss in Höhe von 20% des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umgewandelten Betrages, mindestens jedoch 10 Euro monatlich.</w:t>
            </w:r>
          </w:p>
        </w:tc>
      </w:tr>
      <w:tr w:rsidR="00452D7E" w:rsidTr="006207B3">
        <w:tc>
          <w:tcPr>
            <w:tcW w:w="567" w:type="dxa"/>
          </w:tcPr>
          <w:p w:rsidR="00452D7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(4)</w:t>
            </w:r>
          </w:p>
        </w:tc>
        <w:tc>
          <w:tcPr>
            <w:tcW w:w="8500" w:type="dxa"/>
          </w:tcPr>
          <w:p w:rsidR="00452D7E" w:rsidRPr="00FF26E3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Die Entgeltumwandlung kann nicht für die staatlich geförderte Altersversorgung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gemäß §§ 10 a, 79 ff EStG (sog. Riester-Rente) verwendet werden.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</w:p>
        </w:tc>
      </w:tr>
    </w:tbl>
    <w:p w:rsidR="005451FF" w:rsidRPr="005451FF" w:rsidRDefault="005451FF" w:rsidP="005E660A">
      <w:pPr>
        <w:spacing w:before="1800"/>
        <w:rPr>
          <w:rFonts w:asciiTheme="minorHAnsi" w:eastAsia="Times New Roman" w:hAnsiTheme="minorHAnsi" w:cstheme="minorHAnsi"/>
          <w:sz w:val="18"/>
          <w:lang w:eastAsia="de-DE"/>
        </w:rPr>
      </w:pPr>
      <w:r>
        <w:rPr>
          <w:rFonts w:asciiTheme="minorHAnsi" w:eastAsia="Times New Roman" w:hAnsiTheme="minorHAnsi" w:cstheme="minorHAnsi"/>
          <w:sz w:val="18"/>
          <w:lang w:eastAsia="de-DE"/>
        </w:rPr>
        <w:t>________________________________</w:t>
      </w:r>
    </w:p>
    <w:p w:rsidR="005451FF" w:rsidRDefault="005451FF" w:rsidP="005451FF">
      <w:pPr>
        <w:rPr>
          <w:rFonts w:asciiTheme="minorHAnsi" w:eastAsia="Times New Roman" w:hAnsiTheme="minorHAnsi" w:cstheme="minorHAnsi"/>
          <w:sz w:val="18"/>
          <w:lang w:eastAsia="de-DE"/>
        </w:rPr>
      </w:pPr>
      <w:r w:rsidRPr="005451FF">
        <w:rPr>
          <w:rFonts w:asciiTheme="minorHAnsi" w:eastAsia="Times New Roman" w:hAnsiTheme="minorHAnsi" w:cstheme="minorHAnsi"/>
          <w:sz w:val="18"/>
          <w:vertAlign w:val="superscript"/>
          <w:lang w:eastAsia="de-DE"/>
        </w:rPr>
        <w:t>2</w:t>
      </w:r>
      <w:r w:rsidRPr="005451FF">
        <w:rPr>
          <w:rFonts w:asciiTheme="minorHAnsi" w:eastAsia="Times New Roman" w:hAnsiTheme="minorHAnsi" w:cstheme="minorHAnsi"/>
          <w:sz w:val="18"/>
          <w:lang w:eastAsia="de-DE"/>
        </w:rPr>
        <w:t xml:space="preserve"> für 2016 217,88 €/Jahr </w:t>
      </w:r>
    </w:p>
    <w:p w:rsidR="005451FF" w:rsidRDefault="005451FF" w:rsidP="005451FF">
      <w:pPr>
        <w:jc w:val="right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>4</w:t>
      </w:r>
    </w:p>
    <w:p w:rsidR="00452D7E" w:rsidRDefault="00452D7E">
      <w:pPr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br w:type="page"/>
      </w:r>
    </w:p>
    <w:p w:rsidR="00452D7E" w:rsidRPr="005451FF" w:rsidRDefault="00452D7E" w:rsidP="00452D7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5451FF">
        <w:rPr>
          <w:rFonts w:asciiTheme="minorHAnsi" w:eastAsia="Times New Roman" w:hAnsiTheme="minorHAnsi" w:cstheme="minorHAnsi"/>
          <w:b/>
          <w:lang w:eastAsia="de-DE"/>
        </w:rPr>
        <w:lastRenderedPageBreak/>
        <w:t xml:space="preserve">§ 7 </w:t>
      </w:r>
    </w:p>
    <w:p w:rsidR="00CA380C" w:rsidRPr="005451FF" w:rsidRDefault="00452D7E" w:rsidP="00452D7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5451FF">
        <w:rPr>
          <w:rFonts w:asciiTheme="minorHAnsi" w:eastAsia="Times New Roman" w:hAnsiTheme="minorHAnsi" w:cstheme="minorHAnsi"/>
          <w:b/>
          <w:lang w:eastAsia="de-DE"/>
        </w:rPr>
        <w:t>Umwandelbare Entgeltbestandteile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0"/>
      </w:tblGrid>
      <w:tr w:rsidR="00452D7E" w:rsidTr="00630AC5">
        <w:tc>
          <w:tcPr>
            <w:tcW w:w="567" w:type="dxa"/>
          </w:tcPr>
          <w:p w:rsidR="00452D7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(1)</w:t>
            </w:r>
          </w:p>
        </w:tc>
        <w:tc>
          <w:tcPr>
            <w:tcW w:w="8500" w:type="dxa"/>
          </w:tcPr>
          <w:p w:rsidR="00452D7E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Bereits fällige Entgeltansprüche können nicht umgewandelt werden.</w:t>
            </w:r>
          </w:p>
        </w:tc>
      </w:tr>
      <w:tr w:rsidR="00452D7E" w:rsidTr="00630AC5">
        <w:tc>
          <w:tcPr>
            <w:tcW w:w="567" w:type="dxa"/>
          </w:tcPr>
          <w:p w:rsidR="00452D7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(2)</w:t>
            </w:r>
          </w:p>
        </w:tc>
        <w:tc>
          <w:tcPr>
            <w:tcW w:w="8500" w:type="dxa"/>
          </w:tcPr>
          <w:p w:rsidR="00452D7E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Die Medizinische Fachangestellte/Arzthelferin kann verlangen, dass ihre künftigen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Ansprüche auf</w:t>
            </w:r>
          </w:p>
          <w:p w:rsidR="005451FF" w:rsidRPr="005451FF" w:rsidRDefault="00452D7E" w:rsidP="005E660A">
            <w:pPr>
              <w:pStyle w:val="Listenabsatz"/>
              <w:numPr>
                <w:ilvl w:val="0"/>
                <w:numId w:val="8"/>
              </w:numPr>
              <w:spacing w:before="120"/>
              <w:ind w:left="321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5451FF">
              <w:rPr>
                <w:rFonts w:asciiTheme="minorHAnsi" w:eastAsia="Times New Roman" w:hAnsiTheme="minorHAnsi" w:cstheme="minorHAnsi"/>
                <w:lang w:eastAsia="de-DE"/>
              </w:rPr>
              <w:t>das 13. Monatsgehalt im Sinne des Manteltarifvertrages für Medizinische Fach</w:t>
            </w:r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5451FF">
              <w:rPr>
                <w:rFonts w:asciiTheme="minorHAnsi" w:eastAsia="Times New Roman" w:hAnsiTheme="minorHAnsi" w:cstheme="minorHAnsi"/>
                <w:lang w:eastAsia="de-DE"/>
              </w:rPr>
              <w:t>angestellte/Arzthelferinnen</w:t>
            </w:r>
          </w:p>
          <w:p w:rsidR="005451FF" w:rsidRDefault="00452D7E" w:rsidP="005E660A">
            <w:pPr>
              <w:pStyle w:val="Listenabsatz"/>
              <w:numPr>
                <w:ilvl w:val="0"/>
                <w:numId w:val="8"/>
              </w:numPr>
              <w:spacing w:before="120"/>
              <w:ind w:left="321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5451FF">
              <w:rPr>
                <w:rFonts w:asciiTheme="minorHAnsi" w:eastAsia="Times New Roman" w:hAnsiTheme="minorHAnsi" w:cstheme="minorHAnsi"/>
                <w:lang w:eastAsia="de-DE"/>
              </w:rPr>
              <w:t>die vermögenswirksamen Leistungen im Sinne des Manteltarifvertrages für Medizinische Fachangestellte/Arzthelferinnen</w:t>
            </w:r>
          </w:p>
          <w:p w:rsidR="00452D7E" w:rsidRPr="005451FF" w:rsidRDefault="00452D7E" w:rsidP="005E660A">
            <w:pPr>
              <w:pStyle w:val="Listenabsatz"/>
              <w:numPr>
                <w:ilvl w:val="0"/>
                <w:numId w:val="8"/>
              </w:numPr>
              <w:spacing w:before="120"/>
              <w:ind w:left="321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5451FF">
              <w:rPr>
                <w:rFonts w:asciiTheme="minorHAnsi" w:eastAsia="Times New Roman" w:hAnsiTheme="minorHAnsi" w:cstheme="minorHAnsi"/>
                <w:lang w:eastAsia="de-DE"/>
              </w:rPr>
              <w:t xml:space="preserve">sonstige Entgeltbestandteile </w:t>
            </w:r>
          </w:p>
          <w:p w:rsidR="00452D7E" w:rsidRPr="00FF26E3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vollständig oder teilweise in eine Anwartschaft auf betriebliche Altersversorgung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umgewandelt werden</w:t>
            </w:r>
            <w:r w:rsidR="006207B3">
              <w:rPr>
                <w:rFonts w:asciiTheme="minorHAnsi" w:eastAsia="Times New Roman" w:hAnsiTheme="minorHAnsi" w:cstheme="minorHAnsi"/>
                <w:lang w:eastAsia="de-DE"/>
              </w:rPr>
              <w:t>.</w:t>
            </w:r>
          </w:p>
        </w:tc>
      </w:tr>
    </w:tbl>
    <w:p w:rsidR="00452D7E" w:rsidRPr="005451FF" w:rsidRDefault="00FF26E3" w:rsidP="005E660A">
      <w:pPr>
        <w:spacing w:before="24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5451FF">
        <w:rPr>
          <w:rFonts w:asciiTheme="minorHAnsi" w:eastAsia="Times New Roman" w:hAnsiTheme="minorHAnsi" w:cstheme="minorHAnsi"/>
          <w:b/>
          <w:lang w:eastAsia="de-DE"/>
        </w:rPr>
        <w:t>§ 8</w:t>
      </w:r>
    </w:p>
    <w:p w:rsidR="00CA380C" w:rsidRPr="005451FF" w:rsidRDefault="00FF26E3" w:rsidP="00452D7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5451FF">
        <w:rPr>
          <w:rFonts w:asciiTheme="minorHAnsi" w:eastAsia="Times New Roman" w:hAnsiTheme="minorHAnsi" w:cstheme="minorHAnsi"/>
          <w:b/>
          <w:lang w:eastAsia="de-DE"/>
        </w:rPr>
        <w:t>Verfahren bei Entgeltumwandlung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0"/>
      </w:tblGrid>
      <w:tr w:rsidR="00452D7E" w:rsidTr="00630AC5">
        <w:tc>
          <w:tcPr>
            <w:tcW w:w="567" w:type="dxa"/>
          </w:tcPr>
          <w:p w:rsidR="00452D7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(1)</w:t>
            </w:r>
          </w:p>
        </w:tc>
        <w:tc>
          <w:tcPr>
            <w:tcW w:w="8500" w:type="dxa"/>
          </w:tcPr>
          <w:p w:rsidR="00452D7E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 xml:space="preserve">Die Medizinische Fachangestellte/Arzthelferin muss den Anspruch auf </w:t>
            </w:r>
            <w:proofErr w:type="spellStart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Entgeltum</w:t>
            </w:r>
            <w:proofErr w:type="spellEnd"/>
            <w:r w:rsidR="005451FF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wandlung spätestens vier Wochen vor dem Ersten des Monats, zu dem die Entgelt</w:t>
            </w:r>
            <w:r w:rsidR="005451FF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proofErr w:type="spellStart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umwandlungsvereinbarung</w:t>
            </w:r>
            <w:proofErr w:type="spellEnd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 xml:space="preserve"> zum Zwecke der betrieblichen Altersversorgung in Kraft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treten soll, schriftlich geltend machen.</w:t>
            </w:r>
          </w:p>
        </w:tc>
      </w:tr>
      <w:tr w:rsidR="00452D7E" w:rsidTr="00630AC5">
        <w:tc>
          <w:tcPr>
            <w:tcW w:w="567" w:type="dxa"/>
          </w:tcPr>
          <w:p w:rsidR="00452D7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(2)</w:t>
            </w:r>
          </w:p>
        </w:tc>
        <w:tc>
          <w:tcPr>
            <w:tcW w:w="8500" w:type="dxa"/>
          </w:tcPr>
          <w:p w:rsidR="00452D7E" w:rsidRPr="00FF26E3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Die Medizinische Fachangestellte/Arzthelferin ist an die jeweilige Entscheidung, tarifliche Entgeltbestandteile umzuwandeln, für das laufende Kalenderjahr gebunden,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es sei denn, die persönlichen Lebens- oder Einkommensverhältnisse ändern sich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wesentlich.</w:t>
            </w:r>
          </w:p>
        </w:tc>
      </w:tr>
      <w:tr w:rsidR="00452D7E" w:rsidTr="00630AC5">
        <w:tc>
          <w:tcPr>
            <w:tcW w:w="567" w:type="dxa"/>
          </w:tcPr>
          <w:p w:rsidR="00452D7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(3)</w:t>
            </w:r>
          </w:p>
        </w:tc>
        <w:tc>
          <w:tcPr>
            <w:tcW w:w="8500" w:type="dxa"/>
          </w:tcPr>
          <w:p w:rsidR="00452D7E" w:rsidRPr="00FF26E3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Für die Berechnung anderer gehaltsabhängiger Leistungen oder Ansprüche aus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dem Arbeitsverhältnis bleiben die Entgelte maßgeblich, die sich ohne Entgeltumwandlung ergeben würden.</w:t>
            </w:r>
          </w:p>
        </w:tc>
      </w:tr>
      <w:tr w:rsidR="00452D7E" w:rsidTr="00630AC5">
        <w:tc>
          <w:tcPr>
            <w:tcW w:w="567" w:type="dxa"/>
          </w:tcPr>
          <w:p w:rsidR="00452D7E" w:rsidRDefault="005451FF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(4)</w:t>
            </w:r>
          </w:p>
        </w:tc>
        <w:tc>
          <w:tcPr>
            <w:tcW w:w="8500" w:type="dxa"/>
          </w:tcPr>
          <w:p w:rsidR="00452D7E" w:rsidRPr="00FF26E3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Einzelheiten zum Verfahren sind in der Entgeltumwandlungsvereinbarung zu regeln.</w:t>
            </w:r>
          </w:p>
        </w:tc>
      </w:tr>
    </w:tbl>
    <w:p w:rsidR="00452D7E" w:rsidRPr="006540C3" w:rsidRDefault="00FF26E3" w:rsidP="005E660A">
      <w:pPr>
        <w:spacing w:before="24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§ 9</w:t>
      </w:r>
      <w:r w:rsidR="00CA380C" w:rsidRPr="006540C3">
        <w:rPr>
          <w:rFonts w:asciiTheme="minorHAnsi" w:eastAsia="Times New Roman" w:hAnsiTheme="minorHAnsi" w:cstheme="minorHAnsi"/>
          <w:b/>
          <w:lang w:eastAsia="de-DE"/>
        </w:rPr>
        <w:t xml:space="preserve"> </w:t>
      </w:r>
    </w:p>
    <w:p w:rsidR="00CA380C" w:rsidRPr="006540C3" w:rsidRDefault="00FF26E3" w:rsidP="00452D7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Durchführungsweg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0"/>
      </w:tblGrid>
      <w:tr w:rsidR="00452D7E" w:rsidTr="00630AC5">
        <w:tc>
          <w:tcPr>
            <w:tcW w:w="567" w:type="dxa"/>
          </w:tcPr>
          <w:p w:rsidR="00452D7E" w:rsidRDefault="006540C3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(1)</w:t>
            </w:r>
          </w:p>
        </w:tc>
        <w:tc>
          <w:tcPr>
            <w:tcW w:w="8500" w:type="dxa"/>
          </w:tcPr>
          <w:p w:rsidR="00452D7E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Der Arbeitgeber bietet der Medizinischen Fachangestellten/Arzthelferin die Durch</w:t>
            </w:r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führung der betrieblichen Altersversorgung (Arbeitgeberbeitrag zur betrieblichen Altersversorgung sowie Entgeltumwandlung und Arbeitgeberzuschuss) durch eine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Pensionskasse oder Direktversicherung in der Form einer Aktiengesellschaft an.</w:t>
            </w:r>
          </w:p>
        </w:tc>
      </w:tr>
      <w:tr w:rsidR="006540C3" w:rsidTr="00630AC5">
        <w:tc>
          <w:tcPr>
            <w:tcW w:w="567" w:type="dxa"/>
          </w:tcPr>
          <w:p w:rsidR="006540C3" w:rsidRDefault="006540C3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(2)</w:t>
            </w:r>
          </w:p>
        </w:tc>
        <w:tc>
          <w:tcPr>
            <w:tcW w:w="8500" w:type="dxa"/>
          </w:tcPr>
          <w:p w:rsidR="006540C3" w:rsidRDefault="006540C3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Trifft der Arbeitgeber nicht innerhalb von vier Wochen nach Antragstellung auf Entgeltumwandlung bzw. nach Entstehen des Anspruchs auf den Arbeitgeberbeitrag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zur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betrieblichen Altersversorgung eine Entscheidung, hat die Arbeitnehmerin einen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Anspruch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auf Durchführung der betrieblichen Altersversorgung in Form einer Direktversicherung oder Pensionskasse nach ihrer Wahl. Unbeschadet davon ist die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Arbeitnehmerin gemäß § 16 über die Grundzüge der angebotenen betrieblichen Altersversorgung zu informieren.</w:t>
            </w:r>
          </w:p>
        </w:tc>
      </w:tr>
    </w:tbl>
    <w:p w:rsidR="00CA380C" w:rsidRPr="006540C3" w:rsidRDefault="006540C3" w:rsidP="005E660A">
      <w:pPr>
        <w:spacing w:before="360"/>
        <w:rPr>
          <w:rFonts w:asciiTheme="minorHAnsi" w:eastAsia="Times New Roman" w:hAnsiTheme="minorHAnsi" w:cstheme="minorHAnsi"/>
          <w:sz w:val="18"/>
          <w:lang w:eastAsia="de-DE"/>
        </w:rPr>
      </w:pPr>
      <w:r>
        <w:rPr>
          <w:rFonts w:asciiTheme="minorHAnsi" w:eastAsia="Times New Roman" w:hAnsiTheme="minorHAnsi" w:cstheme="minorHAnsi"/>
          <w:sz w:val="18"/>
          <w:lang w:eastAsia="de-DE"/>
        </w:rPr>
        <w:t>_________________________________</w:t>
      </w:r>
    </w:p>
    <w:p w:rsidR="00CA380C" w:rsidRDefault="00FF26E3" w:rsidP="00FF26E3">
      <w:pPr>
        <w:rPr>
          <w:rFonts w:asciiTheme="minorHAnsi" w:eastAsia="Times New Roman" w:hAnsiTheme="minorHAnsi" w:cstheme="minorHAnsi"/>
          <w:sz w:val="18"/>
          <w:lang w:eastAsia="de-DE"/>
        </w:rPr>
      </w:pPr>
      <w:r w:rsidRPr="006540C3">
        <w:rPr>
          <w:rFonts w:asciiTheme="minorHAnsi" w:eastAsia="Times New Roman" w:hAnsiTheme="minorHAnsi" w:cstheme="minorHAnsi"/>
          <w:sz w:val="18"/>
          <w:vertAlign w:val="superscript"/>
          <w:lang w:eastAsia="de-DE"/>
        </w:rPr>
        <w:t>3</w:t>
      </w:r>
      <w:r w:rsidRPr="006540C3">
        <w:rPr>
          <w:rFonts w:asciiTheme="minorHAnsi" w:eastAsia="Times New Roman" w:hAnsiTheme="minorHAnsi" w:cstheme="minorHAnsi"/>
          <w:sz w:val="18"/>
          <w:lang w:eastAsia="de-DE"/>
        </w:rPr>
        <w:t xml:space="preserve"> siehe Protokollnotiz</w:t>
      </w:r>
      <w:r w:rsidR="00CA380C" w:rsidRPr="006540C3">
        <w:rPr>
          <w:rFonts w:asciiTheme="minorHAnsi" w:eastAsia="Times New Roman" w:hAnsiTheme="minorHAnsi" w:cstheme="minorHAnsi"/>
          <w:sz w:val="18"/>
          <w:lang w:eastAsia="de-DE"/>
        </w:rPr>
        <w:t xml:space="preserve"> </w:t>
      </w:r>
      <w:r w:rsidRPr="006540C3">
        <w:rPr>
          <w:rFonts w:asciiTheme="minorHAnsi" w:eastAsia="Times New Roman" w:hAnsiTheme="minorHAnsi" w:cstheme="minorHAnsi"/>
          <w:sz w:val="18"/>
          <w:lang w:eastAsia="de-DE"/>
        </w:rPr>
        <w:t>6</w:t>
      </w:r>
    </w:p>
    <w:p w:rsidR="006540C3" w:rsidRDefault="006540C3" w:rsidP="006540C3">
      <w:pPr>
        <w:jc w:val="right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>5</w:t>
      </w:r>
    </w:p>
    <w:p w:rsidR="00452D7E" w:rsidRPr="006540C3" w:rsidRDefault="00FF26E3" w:rsidP="00452D7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lastRenderedPageBreak/>
        <w:t>§ 10</w:t>
      </w:r>
      <w:r w:rsidR="00CA380C" w:rsidRPr="006540C3">
        <w:rPr>
          <w:rFonts w:asciiTheme="minorHAnsi" w:eastAsia="Times New Roman" w:hAnsiTheme="minorHAnsi" w:cstheme="minorHAnsi"/>
          <w:b/>
          <w:lang w:eastAsia="de-DE"/>
        </w:rPr>
        <w:t xml:space="preserve"> </w:t>
      </w:r>
    </w:p>
    <w:p w:rsidR="00CA380C" w:rsidRPr="006540C3" w:rsidRDefault="00FF26E3" w:rsidP="00452D7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Versorgungsleistungen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0"/>
      </w:tblGrid>
      <w:tr w:rsidR="00452D7E" w:rsidTr="00630AC5">
        <w:tc>
          <w:tcPr>
            <w:tcW w:w="567" w:type="dxa"/>
          </w:tcPr>
          <w:p w:rsidR="00452D7E" w:rsidRDefault="006540C3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(1)</w:t>
            </w:r>
          </w:p>
        </w:tc>
        <w:tc>
          <w:tcPr>
            <w:tcW w:w="8500" w:type="dxa"/>
          </w:tcPr>
          <w:p w:rsidR="00452D7E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Die angebotene betriebliche Altersversorgung des Arbeitgebers muss mindestens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eine lebenslange Altersrente umfassen oder einen Auszahlungsplan mit anschließender Altersrente umfassen.</w:t>
            </w:r>
          </w:p>
          <w:p w:rsidR="00452D7E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Einzelheiten der Versorgungsleistung (einschließlich ggf. zusätzlicher Versorgungs</w:t>
            </w:r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arten) werden in den Geschäftsplänen, Versicherungsbedingungen und Leistungsbeschreibungen der Pensionskasse oder Direktversicherung, die der Bundesanstalt für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Finanzdienstleistungsaufsicht mitgeteilt werden, festgelegt.</w:t>
            </w:r>
          </w:p>
        </w:tc>
      </w:tr>
      <w:tr w:rsidR="00452D7E" w:rsidTr="00630AC5">
        <w:tc>
          <w:tcPr>
            <w:tcW w:w="567" w:type="dxa"/>
          </w:tcPr>
          <w:p w:rsidR="00452D7E" w:rsidRDefault="006540C3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(2)</w:t>
            </w:r>
          </w:p>
        </w:tc>
        <w:tc>
          <w:tcPr>
            <w:tcW w:w="8500" w:type="dxa"/>
          </w:tcPr>
          <w:p w:rsidR="00452D7E" w:rsidRPr="00FF26E3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Überschussanteile sind entsprechend den Geschäftsplänen, Versicherungs</w:t>
            </w:r>
            <w:r w:rsidR="006540C3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bedingungen und Leistungsbeschreibungen der Pensionskasse oder Direkt</w:t>
            </w:r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versicherung,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die der Bundesanstalt für Finanzdienstleistungsaufsicht mitgeteilt werden, grundsätzlich zur Verbesserung der Versorgungsleistung zu verwenden.</w:t>
            </w:r>
          </w:p>
        </w:tc>
      </w:tr>
    </w:tbl>
    <w:p w:rsidR="00452D7E" w:rsidRPr="006540C3" w:rsidRDefault="005E660A" w:rsidP="005E660A">
      <w:pPr>
        <w:spacing w:before="240"/>
        <w:jc w:val="center"/>
        <w:rPr>
          <w:rFonts w:asciiTheme="minorHAnsi" w:eastAsia="Times New Roman" w:hAnsiTheme="minorHAnsi" w:cstheme="minorHAnsi"/>
          <w:b/>
          <w:lang w:eastAsia="de-DE"/>
        </w:rPr>
      </w:pPr>
      <w:r>
        <w:rPr>
          <w:rFonts w:asciiTheme="minorHAnsi" w:eastAsia="Times New Roman" w:hAnsiTheme="minorHAnsi" w:cstheme="minorHAnsi"/>
          <w:b/>
          <w:lang w:eastAsia="de-DE"/>
        </w:rPr>
        <w:t>§</w:t>
      </w:r>
      <w:r w:rsidR="00FF26E3" w:rsidRPr="006540C3">
        <w:rPr>
          <w:rFonts w:asciiTheme="minorHAnsi" w:eastAsia="Times New Roman" w:hAnsiTheme="minorHAnsi" w:cstheme="minorHAnsi"/>
          <w:b/>
          <w:lang w:eastAsia="de-DE"/>
        </w:rPr>
        <w:t xml:space="preserve"> 11</w:t>
      </w:r>
      <w:r w:rsidR="00CA380C" w:rsidRPr="006540C3">
        <w:rPr>
          <w:rFonts w:asciiTheme="minorHAnsi" w:eastAsia="Times New Roman" w:hAnsiTheme="minorHAnsi" w:cstheme="minorHAnsi"/>
          <w:b/>
          <w:lang w:eastAsia="de-DE"/>
        </w:rPr>
        <w:t xml:space="preserve"> </w:t>
      </w:r>
    </w:p>
    <w:p w:rsidR="00CA380C" w:rsidRPr="006540C3" w:rsidRDefault="00FF26E3" w:rsidP="00452D7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Sofortige Unverfallbarkeit</w:t>
      </w:r>
    </w:p>
    <w:p w:rsidR="00CA380C" w:rsidRDefault="00FF26E3" w:rsidP="005E660A">
      <w:pPr>
        <w:spacing w:before="120"/>
        <w:jc w:val="both"/>
        <w:rPr>
          <w:rFonts w:asciiTheme="minorHAnsi" w:eastAsia="Times New Roman" w:hAnsiTheme="minorHAnsi" w:cstheme="minorHAnsi"/>
          <w:lang w:eastAsia="de-DE"/>
        </w:rPr>
      </w:pPr>
      <w:r w:rsidRPr="00FF26E3">
        <w:rPr>
          <w:rFonts w:asciiTheme="minorHAnsi" w:eastAsia="Times New Roman" w:hAnsiTheme="minorHAnsi" w:cstheme="minorHAnsi"/>
          <w:lang w:eastAsia="de-DE"/>
        </w:rPr>
        <w:t>Die Anwartschaften auf die Versicherungsleistungen aus Entgeltumwandlung und Arbeit</w:t>
      </w:r>
      <w:r w:rsidR="006540C3">
        <w:rPr>
          <w:rFonts w:asciiTheme="minorHAnsi" w:eastAsia="Times New Roman" w:hAnsiTheme="minorHAnsi" w:cstheme="minorHAnsi"/>
          <w:lang w:eastAsia="de-DE"/>
        </w:rPr>
        <w:t>-</w:t>
      </w:r>
      <w:proofErr w:type="spellStart"/>
      <w:r w:rsidRPr="00FF26E3">
        <w:rPr>
          <w:rFonts w:asciiTheme="minorHAnsi" w:eastAsia="Times New Roman" w:hAnsiTheme="minorHAnsi" w:cstheme="minorHAnsi"/>
          <w:lang w:eastAsia="de-DE"/>
        </w:rPr>
        <w:t>geberzuschuss</w:t>
      </w:r>
      <w:proofErr w:type="spellEnd"/>
      <w:r w:rsidRPr="00FF26E3">
        <w:rPr>
          <w:rFonts w:asciiTheme="minorHAnsi" w:eastAsia="Times New Roman" w:hAnsiTheme="minorHAnsi" w:cstheme="minorHAnsi"/>
          <w:lang w:eastAsia="de-DE"/>
        </w:rPr>
        <w:t xml:space="preserve"> sowie aus dem Arbeitgeberbeitrag zur betrieblichen Altersversorgung sind ab Vertragsbeginn unverfallbar. Die Medizinische Fachangestellte/Arzthelferin</w:t>
      </w:r>
      <w:r w:rsidR="00CA380C">
        <w:rPr>
          <w:rFonts w:asciiTheme="minorHAnsi" w:eastAsia="Times New Roman" w:hAnsiTheme="minorHAnsi" w:cstheme="minorHAnsi"/>
          <w:lang w:eastAsia="de-DE"/>
        </w:rPr>
        <w:t xml:space="preserve"> </w:t>
      </w:r>
      <w:r w:rsidRPr="00FF26E3">
        <w:rPr>
          <w:rFonts w:asciiTheme="minorHAnsi" w:eastAsia="Times New Roman" w:hAnsiTheme="minorHAnsi" w:cstheme="minorHAnsi"/>
          <w:lang w:eastAsia="de-DE"/>
        </w:rPr>
        <w:t>ist auf die Versicherungsleistungen für den Erlebens- und Todesfall ab Vertragsbeginn</w:t>
      </w:r>
      <w:r w:rsidR="00CA380C">
        <w:rPr>
          <w:rFonts w:asciiTheme="minorHAnsi" w:eastAsia="Times New Roman" w:hAnsiTheme="minorHAnsi" w:cstheme="minorHAnsi"/>
          <w:lang w:eastAsia="de-DE"/>
        </w:rPr>
        <w:t xml:space="preserve"> </w:t>
      </w:r>
      <w:r w:rsidRPr="00FF26E3">
        <w:rPr>
          <w:rFonts w:asciiTheme="minorHAnsi" w:eastAsia="Times New Roman" w:hAnsiTheme="minorHAnsi" w:cstheme="minorHAnsi"/>
          <w:lang w:eastAsia="de-DE"/>
        </w:rPr>
        <w:t>unwiderruflich bezugsberechtigt.</w:t>
      </w:r>
    </w:p>
    <w:p w:rsidR="00452D7E" w:rsidRPr="006540C3" w:rsidRDefault="00FF26E3" w:rsidP="005E660A">
      <w:pPr>
        <w:spacing w:before="24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§ 12</w:t>
      </w:r>
      <w:r w:rsidR="00CA380C" w:rsidRPr="006540C3">
        <w:rPr>
          <w:rFonts w:asciiTheme="minorHAnsi" w:eastAsia="Times New Roman" w:hAnsiTheme="minorHAnsi" w:cstheme="minorHAnsi"/>
          <w:b/>
          <w:lang w:eastAsia="de-DE"/>
        </w:rPr>
        <w:t xml:space="preserve"> </w:t>
      </w:r>
    </w:p>
    <w:p w:rsidR="00CA380C" w:rsidRPr="006540C3" w:rsidRDefault="00FF26E3" w:rsidP="00452D7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Insolvenzsicherung</w:t>
      </w:r>
    </w:p>
    <w:p w:rsidR="00CA380C" w:rsidRDefault="00FF26E3" w:rsidP="005E660A">
      <w:pPr>
        <w:spacing w:before="120"/>
        <w:jc w:val="both"/>
        <w:rPr>
          <w:rFonts w:asciiTheme="minorHAnsi" w:eastAsia="Times New Roman" w:hAnsiTheme="minorHAnsi" w:cstheme="minorHAnsi"/>
          <w:lang w:eastAsia="de-DE"/>
        </w:rPr>
      </w:pPr>
      <w:r w:rsidRPr="00FF26E3">
        <w:rPr>
          <w:rFonts w:asciiTheme="minorHAnsi" w:eastAsia="Times New Roman" w:hAnsiTheme="minorHAnsi" w:cstheme="minorHAnsi"/>
          <w:lang w:eastAsia="de-DE"/>
        </w:rPr>
        <w:t>Die Insolvenzsicherung der betrieblichen Altersversorgung nach den vorstehenden Regelungen richtet sich nach den hierzu geltenden Regelungen gemäß § 7 BetrAVG.</w:t>
      </w:r>
    </w:p>
    <w:p w:rsidR="00452D7E" w:rsidRPr="006540C3" w:rsidRDefault="00FF26E3" w:rsidP="005E660A">
      <w:pPr>
        <w:spacing w:before="24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§ 13</w:t>
      </w:r>
      <w:r w:rsidR="00CA380C" w:rsidRPr="006540C3">
        <w:rPr>
          <w:rFonts w:asciiTheme="minorHAnsi" w:eastAsia="Times New Roman" w:hAnsiTheme="minorHAnsi" w:cstheme="minorHAnsi"/>
          <w:b/>
          <w:lang w:eastAsia="de-DE"/>
        </w:rPr>
        <w:t xml:space="preserve"> </w:t>
      </w:r>
    </w:p>
    <w:p w:rsidR="00CA380C" w:rsidRPr="006540C3" w:rsidRDefault="00FF26E3" w:rsidP="00452D7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Fortführung und Übertragung der Versorgungsanwartschaft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0"/>
      </w:tblGrid>
      <w:tr w:rsidR="00452D7E" w:rsidTr="00630AC5">
        <w:tc>
          <w:tcPr>
            <w:tcW w:w="567" w:type="dxa"/>
          </w:tcPr>
          <w:p w:rsidR="00452D7E" w:rsidRDefault="006540C3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(1)</w:t>
            </w:r>
          </w:p>
        </w:tc>
        <w:tc>
          <w:tcPr>
            <w:tcW w:w="8500" w:type="dxa"/>
          </w:tcPr>
          <w:p w:rsidR="00452D7E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Mit dem Versorgungsträger der betrieblichen Altersversorgung ist zu vereinbaren,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dass bei Beendigung des Arbeitsverhältnisses die Arbeitnehmerin das Recht zur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Fortführung der Versicherung mit eigenen Beiträgen hat.</w:t>
            </w:r>
          </w:p>
        </w:tc>
      </w:tr>
      <w:tr w:rsidR="00452D7E" w:rsidTr="00630AC5">
        <w:tc>
          <w:tcPr>
            <w:tcW w:w="567" w:type="dxa"/>
          </w:tcPr>
          <w:p w:rsidR="00452D7E" w:rsidRDefault="006540C3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(2)</w:t>
            </w:r>
          </w:p>
        </w:tc>
        <w:tc>
          <w:tcPr>
            <w:tcW w:w="8500" w:type="dxa"/>
          </w:tcPr>
          <w:p w:rsidR="00452D7E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Bei Einstellung einer Medizinischen Fachangestellten/Arzthelferin, die bereits über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eine Versorgungsanwartschaft in einem versicherungsförmigen Durchführungsweg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(Pensionskasse oder Direktversicherung) nach dem BetrAVG verfügt, ist der Arbeitgeber verpflichtet, auf deren Verlangen die betriebliche Altersversorgung in dem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gewählten Durchführungsweg fortzuführen.</w:t>
            </w:r>
          </w:p>
        </w:tc>
      </w:tr>
      <w:tr w:rsidR="00452D7E" w:rsidTr="00630AC5">
        <w:tc>
          <w:tcPr>
            <w:tcW w:w="567" w:type="dxa"/>
          </w:tcPr>
          <w:p w:rsidR="00452D7E" w:rsidRDefault="006540C3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(3)</w:t>
            </w:r>
          </w:p>
        </w:tc>
        <w:tc>
          <w:tcPr>
            <w:tcW w:w="8500" w:type="dxa"/>
          </w:tcPr>
          <w:p w:rsidR="00452D7E" w:rsidRPr="00FF26E3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Sofern der neue Arbeitgeber die Versorgungsanwartschaft übernimmt, sind der Arbeitnehmerin entsprechend § 11 Unverfallbarkeit sowie ein unwiderrufliches Bezugsrecht einzuräumen.</w:t>
            </w:r>
          </w:p>
        </w:tc>
      </w:tr>
    </w:tbl>
    <w:p w:rsidR="005E660A" w:rsidRDefault="005E660A" w:rsidP="005E660A">
      <w:pPr>
        <w:spacing w:before="1080"/>
        <w:jc w:val="right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>6</w:t>
      </w:r>
    </w:p>
    <w:p w:rsidR="005E660A" w:rsidRDefault="005E660A">
      <w:pPr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br w:type="page"/>
      </w:r>
    </w:p>
    <w:p w:rsidR="00452D7E" w:rsidRPr="006540C3" w:rsidRDefault="00FF26E3" w:rsidP="00452D7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lastRenderedPageBreak/>
        <w:t>§ 14</w:t>
      </w:r>
      <w:r w:rsidR="00CA380C" w:rsidRPr="006540C3">
        <w:rPr>
          <w:rFonts w:asciiTheme="minorHAnsi" w:eastAsia="Times New Roman" w:hAnsiTheme="minorHAnsi" w:cstheme="minorHAnsi"/>
          <w:b/>
          <w:lang w:eastAsia="de-DE"/>
        </w:rPr>
        <w:t xml:space="preserve"> </w:t>
      </w:r>
    </w:p>
    <w:p w:rsidR="00CA380C" w:rsidRPr="006540C3" w:rsidRDefault="00452D7E" w:rsidP="00452D7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A</w:t>
      </w:r>
      <w:r w:rsidR="00FF26E3" w:rsidRPr="006540C3">
        <w:rPr>
          <w:rFonts w:asciiTheme="minorHAnsi" w:eastAsia="Times New Roman" w:hAnsiTheme="minorHAnsi" w:cstheme="minorHAnsi"/>
          <w:b/>
          <w:lang w:eastAsia="de-DE"/>
        </w:rPr>
        <w:t>nrechnung</w:t>
      </w:r>
    </w:p>
    <w:p w:rsidR="00CA380C" w:rsidRDefault="00FF26E3" w:rsidP="005E660A">
      <w:pPr>
        <w:spacing w:before="120"/>
        <w:jc w:val="both"/>
        <w:rPr>
          <w:rFonts w:asciiTheme="minorHAnsi" w:eastAsia="Times New Roman" w:hAnsiTheme="minorHAnsi" w:cstheme="minorHAnsi"/>
          <w:lang w:eastAsia="de-DE"/>
        </w:rPr>
      </w:pPr>
      <w:r w:rsidRPr="00FF26E3">
        <w:rPr>
          <w:rFonts w:asciiTheme="minorHAnsi" w:eastAsia="Times New Roman" w:hAnsiTheme="minorHAnsi" w:cstheme="minorHAnsi"/>
          <w:lang w:eastAsia="de-DE"/>
        </w:rPr>
        <w:t>Durch die im Rahmen dieses Tarifvertrages gewährten Versorgungsleistungen werden</w:t>
      </w:r>
      <w:r w:rsidR="00CA380C">
        <w:rPr>
          <w:rFonts w:asciiTheme="minorHAnsi" w:eastAsia="Times New Roman" w:hAnsiTheme="minorHAnsi" w:cstheme="minorHAnsi"/>
          <w:lang w:eastAsia="de-DE"/>
        </w:rPr>
        <w:t xml:space="preserve"> </w:t>
      </w:r>
      <w:r w:rsidRPr="00FF26E3">
        <w:rPr>
          <w:rFonts w:asciiTheme="minorHAnsi" w:eastAsia="Times New Roman" w:hAnsiTheme="minorHAnsi" w:cstheme="minorHAnsi"/>
          <w:lang w:eastAsia="de-DE"/>
        </w:rPr>
        <w:t>bestehende weitere Anwartschaften oder Ansprüche auf Leistung der betrieblichen Altersversorgung nicht nachteilig berührt.</w:t>
      </w:r>
    </w:p>
    <w:p w:rsidR="00452D7E" w:rsidRPr="006540C3" w:rsidRDefault="00FF26E3" w:rsidP="005E660A">
      <w:pPr>
        <w:spacing w:before="24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§ 15</w:t>
      </w:r>
      <w:r w:rsidR="00CA380C" w:rsidRPr="006540C3">
        <w:rPr>
          <w:rFonts w:asciiTheme="minorHAnsi" w:eastAsia="Times New Roman" w:hAnsiTheme="minorHAnsi" w:cstheme="minorHAnsi"/>
          <w:b/>
          <w:lang w:eastAsia="de-DE"/>
        </w:rPr>
        <w:t xml:space="preserve"> </w:t>
      </w:r>
    </w:p>
    <w:p w:rsidR="00CA380C" w:rsidRPr="006540C3" w:rsidRDefault="00FF26E3" w:rsidP="00452D7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Steuern und Sozialabgaben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0"/>
      </w:tblGrid>
      <w:tr w:rsidR="00452D7E" w:rsidTr="00630AC5">
        <w:tc>
          <w:tcPr>
            <w:tcW w:w="567" w:type="dxa"/>
          </w:tcPr>
          <w:p w:rsidR="00452D7E" w:rsidRDefault="006540C3" w:rsidP="005E660A">
            <w:pPr>
              <w:spacing w:before="120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(1)</w:t>
            </w:r>
          </w:p>
        </w:tc>
        <w:tc>
          <w:tcPr>
            <w:tcW w:w="8500" w:type="dxa"/>
          </w:tcPr>
          <w:p w:rsidR="00452D7E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Soweit im Zusammenhang mit der Beitragszahlung zur betrieblichen Altersversorgung Steuern und/oder gesetzliche Sozialversicherungsbeiträge fällig werden, werden diese entsprechend den gesetzlichen Regelungen von Arbeitgeber und Arbeit</w:t>
            </w:r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nehmerin getragen.</w:t>
            </w:r>
          </w:p>
        </w:tc>
      </w:tr>
      <w:tr w:rsidR="00452D7E" w:rsidTr="00630AC5">
        <w:tc>
          <w:tcPr>
            <w:tcW w:w="567" w:type="dxa"/>
          </w:tcPr>
          <w:p w:rsidR="00452D7E" w:rsidRDefault="006540C3" w:rsidP="005E660A">
            <w:pPr>
              <w:spacing w:before="120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(2)</w:t>
            </w:r>
          </w:p>
        </w:tc>
        <w:tc>
          <w:tcPr>
            <w:tcW w:w="8500" w:type="dxa"/>
          </w:tcPr>
          <w:p w:rsidR="00452D7E" w:rsidRPr="00FF26E3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Bei einer pauschalen Versteuerung von Beiträgen nach § 40 b EStG ist die Pauschal</w:t>
            </w:r>
            <w:r w:rsidR="006540C3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steuer im Innenverhältnis zum Arbeitgeber von der Arbeitnehmerin zu tragen.</w:t>
            </w:r>
          </w:p>
        </w:tc>
      </w:tr>
    </w:tbl>
    <w:p w:rsidR="00452D7E" w:rsidRPr="006540C3" w:rsidRDefault="00FF26E3" w:rsidP="005E660A">
      <w:pPr>
        <w:spacing w:before="24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§ 16</w:t>
      </w:r>
      <w:r w:rsidR="00CA380C" w:rsidRPr="006540C3">
        <w:rPr>
          <w:rFonts w:asciiTheme="minorHAnsi" w:eastAsia="Times New Roman" w:hAnsiTheme="minorHAnsi" w:cstheme="minorHAnsi"/>
          <w:b/>
          <w:lang w:eastAsia="de-DE"/>
        </w:rPr>
        <w:t xml:space="preserve"> </w:t>
      </w:r>
    </w:p>
    <w:p w:rsidR="00CA380C" w:rsidRPr="006540C3" w:rsidRDefault="00FF26E3" w:rsidP="00452D7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Informationspflichten</w:t>
      </w:r>
    </w:p>
    <w:p w:rsidR="00CA380C" w:rsidRDefault="00FF26E3" w:rsidP="005E660A">
      <w:pPr>
        <w:spacing w:before="120"/>
        <w:jc w:val="both"/>
        <w:rPr>
          <w:rFonts w:asciiTheme="minorHAnsi" w:eastAsia="Times New Roman" w:hAnsiTheme="minorHAnsi" w:cstheme="minorHAnsi"/>
          <w:lang w:eastAsia="de-DE"/>
        </w:rPr>
      </w:pPr>
      <w:r w:rsidRPr="00FF26E3">
        <w:rPr>
          <w:rFonts w:asciiTheme="minorHAnsi" w:eastAsia="Times New Roman" w:hAnsiTheme="minorHAnsi" w:cstheme="minorHAnsi"/>
          <w:lang w:eastAsia="de-DE"/>
        </w:rPr>
        <w:t>Der Arbeitgeber informiert die Medizinische Fachangestellte/Arzthelferin über die</w:t>
      </w:r>
      <w:r w:rsidR="00CA380C">
        <w:rPr>
          <w:rFonts w:asciiTheme="minorHAnsi" w:eastAsia="Times New Roman" w:hAnsiTheme="minorHAnsi" w:cstheme="minorHAnsi"/>
          <w:lang w:eastAsia="de-DE"/>
        </w:rPr>
        <w:t xml:space="preserve"> </w:t>
      </w:r>
      <w:r w:rsidRPr="00FF26E3">
        <w:rPr>
          <w:rFonts w:asciiTheme="minorHAnsi" w:eastAsia="Times New Roman" w:hAnsiTheme="minorHAnsi" w:cstheme="minorHAnsi"/>
          <w:lang w:eastAsia="de-DE"/>
        </w:rPr>
        <w:t>Grundzüge der nach § 9 vereinbarten betrieblichen Altersversorgung durch Entgeltumwandlung und Arbeitgeberzuschuss sowie Arbeitgeberbeitrag. Der Arbeitgeber hat</w:t>
      </w:r>
      <w:r w:rsidR="00CA380C">
        <w:rPr>
          <w:rFonts w:asciiTheme="minorHAnsi" w:eastAsia="Times New Roman" w:hAnsiTheme="minorHAnsi" w:cstheme="minorHAnsi"/>
          <w:lang w:eastAsia="de-DE"/>
        </w:rPr>
        <w:t xml:space="preserve"> </w:t>
      </w:r>
      <w:r w:rsidRPr="00FF26E3">
        <w:rPr>
          <w:rFonts w:asciiTheme="minorHAnsi" w:eastAsia="Times New Roman" w:hAnsiTheme="minorHAnsi" w:cstheme="minorHAnsi"/>
          <w:lang w:eastAsia="de-DE"/>
        </w:rPr>
        <w:t>dafür</w:t>
      </w:r>
      <w:r w:rsidR="00CA380C">
        <w:rPr>
          <w:rFonts w:asciiTheme="minorHAnsi" w:eastAsia="Times New Roman" w:hAnsiTheme="minorHAnsi" w:cstheme="minorHAnsi"/>
          <w:lang w:eastAsia="de-DE"/>
        </w:rPr>
        <w:t xml:space="preserve"> </w:t>
      </w:r>
      <w:r w:rsidRPr="00FF26E3">
        <w:rPr>
          <w:rFonts w:asciiTheme="minorHAnsi" w:eastAsia="Times New Roman" w:hAnsiTheme="minorHAnsi" w:cstheme="minorHAnsi"/>
          <w:lang w:eastAsia="de-DE"/>
        </w:rPr>
        <w:t>Sorge zu tragen, dass Informationen der Pensionskasse bzw. Versicherung, insbesondere Auskünfte über die gezahlten Beiträge, den Stand der Anwartschaft sowie die zu</w:t>
      </w:r>
      <w:r w:rsidR="00CA380C">
        <w:rPr>
          <w:rFonts w:asciiTheme="minorHAnsi" w:eastAsia="Times New Roman" w:hAnsiTheme="minorHAnsi" w:cstheme="minorHAnsi"/>
          <w:lang w:eastAsia="de-DE"/>
        </w:rPr>
        <w:t xml:space="preserve"> </w:t>
      </w:r>
      <w:r w:rsidRPr="00FF26E3">
        <w:rPr>
          <w:rFonts w:asciiTheme="minorHAnsi" w:eastAsia="Times New Roman" w:hAnsiTheme="minorHAnsi" w:cstheme="minorHAnsi"/>
          <w:lang w:eastAsia="de-DE"/>
        </w:rPr>
        <w:t>erwartenden Leistungen der Medizinischen Fachangestellten/Arzthelferin unverzüglich</w:t>
      </w:r>
      <w:r w:rsidR="00CA380C">
        <w:rPr>
          <w:rFonts w:asciiTheme="minorHAnsi" w:eastAsia="Times New Roman" w:hAnsiTheme="minorHAnsi" w:cstheme="minorHAnsi"/>
          <w:lang w:eastAsia="de-DE"/>
        </w:rPr>
        <w:t xml:space="preserve"> </w:t>
      </w:r>
      <w:r w:rsidRPr="00FF26E3">
        <w:rPr>
          <w:rFonts w:asciiTheme="minorHAnsi" w:eastAsia="Times New Roman" w:hAnsiTheme="minorHAnsi" w:cstheme="minorHAnsi"/>
          <w:lang w:eastAsia="de-DE"/>
        </w:rPr>
        <w:t>zugeleitet werden.</w:t>
      </w:r>
    </w:p>
    <w:p w:rsidR="00452D7E" w:rsidRPr="006540C3" w:rsidRDefault="00FF26E3" w:rsidP="005E660A">
      <w:pPr>
        <w:spacing w:before="24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§ 17</w:t>
      </w:r>
      <w:r w:rsidR="00CA380C" w:rsidRPr="006540C3">
        <w:rPr>
          <w:rFonts w:asciiTheme="minorHAnsi" w:eastAsia="Times New Roman" w:hAnsiTheme="minorHAnsi" w:cstheme="minorHAnsi"/>
          <w:b/>
          <w:lang w:eastAsia="de-DE"/>
        </w:rPr>
        <w:t xml:space="preserve"> </w:t>
      </w:r>
    </w:p>
    <w:p w:rsidR="00CA380C" w:rsidRPr="006540C3" w:rsidRDefault="00FF26E3" w:rsidP="00452D7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Ausschlussfristen</w:t>
      </w:r>
    </w:p>
    <w:p w:rsidR="00CA380C" w:rsidRDefault="00FF26E3" w:rsidP="005E660A">
      <w:pPr>
        <w:spacing w:before="120"/>
        <w:jc w:val="both"/>
        <w:rPr>
          <w:rFonts w:asciiTheme="minorHAnsi" w:eastAsia="Times New Roman" w:hAnsiTheme="minorHAnsi" w:cstheme="minorHAnsi"/>
          <w:lang w:eastAsia="de-DE"/>
        </w:rPr>
      </w:pPr>
      <w:r w:rsidRPr="00FF26E3">
        <w:rPr>
          <w:rFonts w:asciiTheme="minorHAnsi" w:eastAsia="Times New Roman" w:hAnsiTheme="minorHAnsi" w:cstheme="minorHAnsi"/>
          <w:lang w:eastAsia="de-DE"/>
        </w:rPr>
        <w:t>Abweichend von § 21 Manteltarifvertrag sind Ansprüche aus diesem Tarifvertrag innerhalb einer Frist von 36 Monaten nach Fälligkeit schriftlich geltend zu machen.</w:t>
      </w:r>
    </w:p>
    <w:p w:rsidR="00452D7E" w:rsidRPr="006540C3" w:rsidRDefault="00FF26E3" w:rsidP="005E660A">
      <w:pPr>
        <w:spacing w:before="24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§ 18</w:t>
      </w:r>
      <w:r w:rsidR="00CA380C" w:rsidRPr="006540C3">
        <w:rPr>
          <w:rFonts w:asciiTheme="minorHAnsi" w:eastAsia="Times New Roman" w:hAnsiTheme="minorHAnsi" w:cstheme="minorHAnsi"/>
          <w:b/>
          <w:lang w:eastAsia="de-DE"/>
        </w:rPr>
        <w:t xml:space="preserve"> </w:t>
      </w:r>
    </w:p>
    <w:p w:rsidR="00CA380C" w:rsidRPr="006540C3" w:rsidRDefault="00FF26E3" w:rsidP="00452D7E">
      <w:pPr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6540C3">
        <w:rPr>
          <w:rFonts w:asciiTheme="minorHAnsi" w:eastAsia="Times New Roman" w:hAnsiTheme="minorHAnsi" w:cstheme="minorHAnsi"/>
          <w:b/>
          <w:lang w:eastAsia="de-DE"/>
        </w:rPr>
        <w:t>Inkrafttreten und Laufzeit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0"/>
      </w:tblGrid>
      <w:tr w:rsidR="00452D7E" w:rsidTr="00630AC5">
        <w:tc>
          <w:tcPr>
            <w:tcW w:w="567" w:type="dxa"/>
          </w:tcPr>
          <w:p w:rsidR="00452D7E" w:rsidRDefault="006540C3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(1)</w:t>
            </w:r>
          </w:p>
        </w:tc>
        <w:tc>
          <w:tcPr>
            <w:tcW w:w="8500" w:type="dxa"/>
          </w:tcPr>
          <w:p w:rsidR="00452D7E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Dieser Tarifvertrag tritt am 01.04.2016 in Kraft. Unabhängig vom Gehaltstarifvertrag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kann er mit einer Frist von 3 Monaten zum Jahresende, erstmals zum 31.12.2019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 xml:space="preserve">gekündigt werden. Bis zum Abschluss eines neuen Tarifvertrages gelten die </w:t>
            </w:r>
            <w:proofErr w:type="spellStart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Bestim</w:t>
            </w:r>
            <w:r w:rsidR="006540C3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mungen</w:t>
            </w:r>
            <w:proofErr w:type="spellEnd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 xml:space="preserve"> des gekündigten Tarifvertrages weiter, soweit zwischen den Tarifvertrags</w:t>
            </w:r>
            <w:r w:rsidR="006540C3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parteien nichts anderes vereinbart wird.</w:t>
            </w:r>
          </w:p>
        </w:tc>
      </w:tr>
      <w:tr w:rsidR="00452D7E" w:rsidTr="00630AC5">
        <w:tc>
          <w:tcPr>
            <w:tcW w:w="567" w:type="dxa"/>
          </w:tcPr>
          <w:p w:rsidR="00452D7E" w:rsidRDefault="006540C3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t>(2)</w:t>
            </w:r>
          </w:p>
        </w:tc>
        <w:tc>
          <w:tcPr>
            <w:tcW w:w="8500" w:type="dxa"/>
          </w:tcPr>
          <w:p w:rsidR="00452D7E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Sofern durch gesetzliche Regelungen im Rahmen der gesetzlichen Renten</w:t>
            </w:r>
            <w:r w:rsidR="006540C3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versicherung, des BetrAVG oder anderer Vorschriften eine Änderung des Tarif</w:t>
            </w:r>
            <w:r w:rsidR="006540C3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vertrages zu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den Regelungen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zur Entgeltumwandlung und zum Arbeitgeberbeitrag zur betrieblichen Altersversorgung notwendig wird, werden die Tarifvertragsparteien hierzu in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 xml:space="preserve">Verhandlungen mit dem Ziel eintreten, die Entgeltumwandlung </w:t>
            </w:r>
            <w:proofErr w:type="spellStart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ent</w:t>
            </w:r>
            <w:proofErr w:type="spellEnd"/>
            <w:r w:rsidR="005E660A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sprechend den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gesetzlichen Vorgaben weiterhin zu ermöglichen.</w:t>
            </w:r>
          </w:p>
        </w:tc>
      </w:tr>
    </w:tbl>
    <w:p w:rsidR="005E660A" w:rsidRPr="005E660A" w:rsidRDefault="005E660A" w:rsidP="005E660A">
      <w:pPr>
        <w:spacing w:before="72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</w:p>
    <w:p w:rsidR="005E660A" w:rsidRDefault="005E660A">
      <w:r>
        <w:br w:type="page"/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0"/>
      </w:tblGrid>
      <w:tr w:rsidR="00452D7E" w:rsidTr="00630AC5">
        <w:tc>
          <w:tcPr>
            <w:tcW w:w="567" w:type="dxa"/>
          </w:tcPr>
          <w:p w:rsidR="00452D7E" w:rsidRDefault="006540C3" w:rsidP="006207B3">
            <w:pPr>
              <w:spacing w:before="12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lang w:eastAsia="de-DE"/>
              </w:rPr>
              <w:lastRenderedPageBreak/>
              <w:t>(3)</w:t>
            </w:r>
          </w:p>
        </w:tc>
        <w:tc>
          <w:tcPr>
            <w:tcW w:w="8500" w:type="dxa"/>
          </w:tcPr>
          <w:p w:rsidR="00452D7E" w:rsidRPr="00FF26E3" w:rsidRDefault="00452D7E" w:rsidP="005E660A">
            <w:pPr>
              <w:spacing w:before="120"/>
              <w:jc w:val="both"/>
              <w:rPr>
                <w:rFonts w:asciiTheme="minorHAnsi" w:eastAsia="Times New Roman" w:hAnsiTheme="minorHAnsi" w:cstheme="minorHAnsi"/>
                <w:lang w:eastAsia="de-DE"/>
              </w:rPr>
            </w:pP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Bei Inkrafttreten dieses Tarifvertrages bestehende Betriebsvereinbarungen oder Individualvereinbarungen zur Entgeltumwandlung sowie zur betrieblichen Alters</w:t>
            </w:r>
            <w:r w:rsidR="006540C3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 xml:space="preserve">versorgung sowie Anwartschaften aus solchen bleiben durch diesen Tarifvertrag </w:t>
            </w:r>
            <w:proofErr w:type="spellStart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un</w:t>
            </w:r>
            <w:proofErr w:type="spellEnd"/>
            <w:r w:rsidR="006540C3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 xml:space="preserve">berührt und gelten unverändert weiter, können jedoch im gegenseitigen </w:t>
            </w:r>
            <w:proofErr w:type="spellStart"/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Einver</w:t>
            </w:r>
            <w:proofErr w:type="spellEnd"/>
            <w:r w:rsidR="006540C3">
              <w:rPr>
                <w:rFonts w:asciiTheme="minorHAnsi" w:eastAsia="Times New Roman" w:hAnsiTheme="minorHAnsi" w:cstheme="minorHAnsi"/>
                <w:lang w:eastAsia="de-DE"/>
              </w:rPr>
              <w:t>-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nehmen</w:t>
            </w:r>
            <w:r>
              <w:rPr>
                <w:rFonts w:asciiTheme="minorHAnsi" w:eastAsia="Times New Roman" w:hAnsiTheme="minorHAnsi" w:cstheme="minorHAnsi"/>
                <w:lang w:eastAsia="de-DE"/>
              </w:rPr>
              <w:t xml:space="preserve"> </w:t>
            </w:r>
            <w:r w:rsidRPr="00FF26E3">
              <w:rPr>
                <w:rFonts w:asciiTheme="minorHAnsi" w:eastAsia="Times New Roman" w:hAnsiTheme="minorHAnsi" w:cstheme="minorHAnsi"/>
                <w:lang w:eastAsia="de-DE"/>
              </w:rPr>
              <w:t>umgewandelt werden.</w:t>
            </w:r>
          </w:p>
        </w:tc>
      </w:tr>
    </w:tbl>
    <w:p w:rsidR="00CA380C" w:rsidRPr="006540C3" w:rsidRDefault="00FF26E3" w:rsidP="005E660A">
      <w:pPr>
        <w:spacing w:before="2400"/>
        <w:rPr>
          <w:rFonts w:asciiTheme="minorHAnsi" w:eastAsia="Times New Roman" w:hAnsiTheme="minorHAnsi" w:cstheme="minorHAnsi"/>
          <w:u w:val="single"/>
          <w:lang w:eastAsia="de-DE"/>
        </w:rPr>
      </w:pPr>
      <w:r w:rsidRPr="006540C3">
        <w:rPr>
          <w:rFonts w:asciiTheme="minorHAnsi" w:eastAsia="Times New Roman" w:hAnsiTheme="minorHAnsi" w:cstheme="minorHAnsi"/>
          <w:u w:val="single"/>
          <w:lang w:eastAsia="de-DE"/>
        </w:rPr>
        <w:t>Protokollnotiz</w:t>
      </w:r>
    </w:p>
    <w:p w:rsidR="002C139E" w:rsidRDefault="00FF26E3" w:rsidP="005E660A">
      <w:pPr>
        <w:spacing w:before="120"/>
        <w:jc w:val="both"/>
        <w:rPr>
          <w:rFonts w:asciiTheme="minorHAnsi" w:eastAsia="Times New Roman" w:hAnsiTheme="minorHAnsi" w:cstheme="minorHAnsi"/>
          <w:lang w:eastAsia="de-DE"/>
        </w:rPr>
      </w:pPr>
      <w:r w:rsidRPr="00FF26E3">
        <w:rPr>
          <w:rFonts w:asciiTheme="minorHAnsi" w:eastAsia="Times New Roman" w:hAnsiTheme="minorHAnsi" w:cstheme="minorHAnsi"/>
          <w:lang w:eastAsia="de-DE"/>
        </w:rPr>
        <w:t>Die Umsetzbarkeit des Tarifvertrages zur betrieblichen Altersversorgung und Entgelt</w:t>
      </w:r>
      <w:r w:rsidR="000C21FF">
        <w:rPr>
          <w:rFonts w:asciiTheme="minorHAnsi" w:eastAsia="Times New Roman" w:hAnsiTheme="minorHAnsi" w:cstheme="minorHAnsi"/>
          <w:lang w:eastAsia="de-DE"/>
        </w:rPr>
        <w:t>-</w:t>
      </w:r>
      <w:r w:rsidRPr="00FF26E3">
        <w:rPr>
          <w:rFonts w:asciiTheme="minorHAnsi" w:eastAsia="Times New Roman" w:hAnsiTheme="minorHAnsi" w:cstheme="minorHAnsi"/>
          <w:lang w:eastAsia="de-DE"/>
        </w:rPr>
        <w:t>umwandlung ist in Bezug auf die Höhe des monatlichen Arbeitgeberbeitrages zur betrieblichen Altersversorgung mit der „Vorsorgeeinrichtung für Gesundheitsberufe“ (</w:t>
      </w:r>
      <w:proofErr w:type="spellStart"/>
      <w:r w:rsidRPr="00FF26E3">
        <w:rPr>
          <w:rFonts w:asciiTheme="minorHAnsi" w:eastAsia="Times New Roman" w:hAnsiTheme="minorHAnsi" w:cstheme="minorHAnsi"/>
          <w:lang w:eastAsia="de-DE"/>
        </w:rPr>
        <w:t>Gesundheits</w:t>
      </w:r>
      <w:r w:rsidRPr="006540C3">
        <w:rPr>
          <w:rFonts w:asciiTheme="minorHAnsi" w:eastAsia="Times New Roman" w:hAnsiTheme="minorHAnsi" w:cstheme="minorHAnsi"/>
          <w:i/>
          <w:lang w:eastAsia="de-DE"/>
        </w:rPr>
        <w:t>Rente</w:t>
      </w:r>
      <w:proofErr w:type="spellEnd"/>
      <w:r w:rsidRPr="00FF26E3">
        <w:rPr>
          <w:rFonts w:asciiTheme="minorHAnsi" w:eastAsia="Times New Roman" w:hAnsiTheme="minorHAnsi" w:cstheme="minorHAnsi"/>
          <w:lang w:eastAsia="de-DE"/>
        </w:rPr>
        <w:t xml:space="preserve">) abgestimmt. Die </w:t>
      </w:r>
      <w:proofErr w:type="spellStart"/>
      <w:r w:rsidRPr="00FF26E3">
        <w:rPr>
          <w:rFonts w:asciiTheme="minorHAnsi" w:eastAsia="Times New Roman" w:hAnsiTheme="minorHAnsi" w:cstheme="minorHAnsi"/>
          <w:lang w:eastAsia="de-DE"/>
        </w:rPr>
        <w:t>Gesundheits</w:t>
      </w:r>
      <w:r w:rsidRPr="006540C3">
        <w:rPr>
          <w:rFonts w:asciiTheme="minorHAnsi" w:eastAsia="Times New Roman" w:hAnsiTheme="minorHAnsi" w:cstheme="minorHAnsi"/>
          <w:i/>
          <w:lang w:eastAsia="de-DE"/>
        </w:rPr>
        <w:t>Rente</w:t>
      </w:r>
      <w:proofErr w:type="spellEnd"/>
      <w:r w:rsidRPr="00FF26E3">
        <w:rPr>
          <w:rFonts w:asciiTheme="minorHAnsi" w:eastAsia="Times New Roman" w:hAnsiTheme="minorHAnsi" w:cstheme="minorHAnsi"/>
          <w:lang w:eastAsia="de-DE"/>
        </w:rPr>
        <w:t xml:space="preserve"> wurde in Abstimmung mit den Tarifparteien entwickelt.</w:t>
      </w:r>
    </w:p>
    <w:p w:rsidR="00FF26E3" w:rsidRPr="00FF26E3" w:rsidRDefault="00FF26E3" w:rsidP="005E660A">
      <w:pPr>
        <w:spacing w:before="2160"/>
        <w:rPr>
          <w:rFonts w:asciiTheme="minorHAnsi" w:eastAsia="Times New Roman" w:hAnsiTheme="minorHAnsi" w:cstheme="minorHAnsi"/>
          <w:lang w:eastAsia="de-DE"/>
        </w:rPr>
      </w:pPr>
      <w:r w:rsidRPr="00FF26E3">
        <w:rPr>
          <w:rFonts w:asciiTheme="minorHAnsi" w:eastAsia="Times New Roman" w:hAnsiTheme="minorHAnsi" w:cstheme="minorHAnsi"/>
          <w:lang w:eastAsia="de-DE"/>
        </w:rPr>
        <w:t>Berlin, den 13.04.2016</w:t>
      </w:r>
    </w:p>
    <w:p w:rsidR="0042003B" w:rsidRPr="00FF26E3" w:rsidRDefault="0042003B">
      <w:pPr>
        <w:rPr>
          <w:rFonts w:asciiTheme="minorHAnsi" w:hAnsiTheme="minorHAnsi" w:cstheme="minorHAnsi"/>
        </w:rPr>
      </w:pPr>
    </w:p>
    <w:sectPr w:rsidR="0042003B" w:rsidRPr="00FF26E3" w:rsidSect="00FF26E3">
      <w:pgSz w:w="11906" w:h="16838"/>
      <w:pgMar w:top="1417" w:right="1417" w:bottom="1134" w:left="1417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2C8"/>
    <w:multiLevelType w:val="hybridMultilevel"/>
    <w:tmpl w:val="69A2DE76"/>
    <w:lvl w:ilvl="0" w:tplc="5D32A1AE">
      <w:start w:val="1"/>
      <w:numFmt w:val="bullet"/>
      <w:lvlText w:val="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1C4A"/>
    <w:multiLevelType w:val="hybridMultilevel"/>
    <w:tmpl w:val="D14E3F80"/>
    <w:lvl w:ilvl="0" w:tplc="2E1C5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40FB6"/>
    <w:multiLevelType w:val="hybridMultilevel"/>
    <w:tmpl w:val="5D8E6E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47CB0"/>
    <w:multiLevelType w:val="hybridMultilevel"/>
    <w:tmpl w:val="8D56BDE4"/>
    <w:lvl w:ilvl="0" w:tplc="CBD09E84">
      <w:start w:val="1"/>
      <w:numFmt w:val="bullet"/>
      <w:lvlText w:val="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C6F0A"/>
    <w:multiLevelType w:val="hybridMultilevel"/>
    <w:tmpl w:val="D30AAF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A2A39"/>
    <w:multiLevelType w:val="hybridMultilevel"/>
    <w:tmpl w:val="0076215C"/>
    <w:lvl w:ilvl="0" w:tplc="36A47BB8">
      <w:start w:val="1"/>
      <w:numFmt w:val="bullet"/>
      <w:lvlText w:val=" 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A0DBD"/>
    <w:multiLevelType w:val="hybridMultilevel"/>
    <w:tmpl w:val="A3DE024C"/>
    <w:lvl w:ilvl="0" w:tplc="2E1C5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FD28E0"/>
    <w:multiLevelType w:val="hybridMultilevel"/>
    <w:tmpl w:val="8A0C5FEA"/>
    <w:lvl w:ilvl="0" w:tplc="CBD09E84">
      <w:start w:val="1"/>
      <w:numFmt w:val="bullet"/>
      <w:lvlText w:val="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E3"/>
    <w:rsid w:val="00032940"/>
    <w:rsid w:val="00035E0D"/>
    <w:rsid w:val="0005128E"/>
    <w:rsid w:val="000B6CC9"/>
    <w:rsid w:val="000C21FF"/>
    <w:rsid w:val="000C3863"/>
    <w:rsid w:val="001271B3"/>
    <w:rsid w:val="001323AA"/>
    <w:rsid w:val="00146581"/>
    <w:rsid w:val="001716BA"/>
    <w:rsid w:val="00194488"/>
    <w:rsid w:val="00196579"/>
    <w:rsid w:val="001D4854"/>
    <w:rsid w:val="00221261"/>
    <w:rsid w:val="00223FC9"/>
    <w:rsid w:val="002269FD"/>
    <w:rsid w:val="00290E63"/>
    <w:rsid w:val="002C00BE"/>
    <w:rsid w:val="002C139E"/>
    <w:rsid w:val="002C4434"/>
    <w:rsid w:val="002F0F61"/>
    <w:rsid w:val="00306963"/>
    <w:rsid w:val="00314115"/>
    <w:rsid w:val="003637CD"/>
    <w:rsid w:val="0038487A"/>
    <w:rsid w:val="00396ADB"/>
    <w:rsid w:val="003B12C9"/>
    <w:rsid w:val="0042003B"/>
    <w:rsid w:val="0042452E"/>
    <w:rsid w:val="0043302F"/>
    <w:rsid w:val="00437BA8"/>
    <w:rsid w:val="0044674C"/>
    <w:rsid w:val="00452D7E"/>
    <w:rsid w:val="0046326D"/>
    <w:rsid w:val="0047579A"/>
    <w:rsid w:val="00487B6D"/>
    <w:rsid w:val="004C0CC0"/>
    <w:rsid w:val="004F3BEB"/>
    <w:rsid w:val="005350A7"/>
    <w:rsid w:val="005451FF"/>
    <w:rsid w:val="0055573B"/>
    <w:rsid w:val="00577658"/>
    <w:rsid w:val="005B5343"/>
    <w:rsid w:val="005E660A"/>
    <w:rsid w:val="006207B3"/>
    <w:rsid w:val="00630AC5"/>
    <w:rsid w:val="00634D23"/>
    <w:rsid w:val="006540C3"/>
    <w:rsid w:val="0066676E"/>
    <w:rsid w:val="0067530C"/>
    <w:rsid w:val="006A0C1B"/>
    <w:rsid w:val="006D53EB"/>
    <w:rsid w:val="007A4EBC"/>
    <w:rsid w:val="007E16EE"/>
    <w:rsid w:val="007F4504"/>
    <w:rsid w:val="00834A56"/>
    <w:rsid w:val="00852B1B"/>
    <w:rsid w:val="008B1232"/>
    <w:rsid w:val="008D691C"/>
    <w:rsid w:val="00903CA9"/>
    <w:rsid w:val="009076C3"/>
    <w:rsid w:val="00916B4B"/>
    <w:rsid w:val="009B3084"/>
    <w:rsid w:val="009F3B48"/>
    <w:rsid w:val="00A369D9"/>
    <w:rsid w:val="00A45390"/>
    <w:rsid w:val="00A629A5"/>
    <w:rsid w:val="00AB6CD2"/>
    <w:rsid w:val="00AD3A0A"/>
    <w:rsid w:val="00B05E34"/>
    <w:rsid w:val="00B17139"/>
    <w:rsid w:val="00B50514"/>
    <w:rsid w:val="00B949A1"/>
    <w:rsid w:val="00BA38D5"/>
    <w:rsid w:val="00C16756"/>
    <w:rsid w:val="00C71737"/>
    <w:rsid w:val="00C94E72"/>
    <w:rsid w:val="00CA13B3"/>
    <w:rsid w:val="00CA380C"/>
    <w:rsid w:val="00DA0291"/>
    <w:rsid w:val="00DA5CFB"/>
    <w:rsid w:val="00DF3690"/>
    <w:rsid w:val="00E05700"/>
    <w:rsid w:val="00E4415D"/>
    <w:rsid w:val="00E92603"/>
    <w:rsid w:val="00EA00B6"/>
    <w:rsid w:val="00ED0C58"/>
    <w:rsid w:val="00EF0097"/>
    <w:rsid w:val="00F86A0B"/>
    <w:rsid w:val="00FC1061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D514"/>
  <w15:chartTrackingRefBased/>
  <w15:docId w15:val="{BC72A92F-BFAA-4B3A-A1D8-C685C4DF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53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F26E3"/>
    <w:rPr>
      <w:color w:val="0000FF"/>
      <w:u w:val="single"/>
    </w:rPr>
  </w:style>
  <w:style w:type="character" w:customStyle="1" w:styleId="markedcontent">
    <w:name w:val="markedcontent"/>
    <w:basedOn w:val="Absatz-Standardschriftart"/>
    <w:rsid w:val="00FF26E3"/>
  </w:style>
  <w:style w:type="paragraph" w:styleId="Listenabsatz">
    <w:name w:val="List Paragraph"/>
    <w:basedOn w:val="Standard"/>
    <w:uiPriority w:val="34"/>
    <w:qFormat/>
    <w:rsid w:val="00FF26E3"/>
    <w:pPr>
      <w:ind w:left="720"/>
      <w:contextualSpacing/>
    </w:pPr>
  </w:style>
  <w:style w:type="table" w:styleId="Tabellenraster">
    <w:name w:val="Table Grid"/>
    <w:basedOn w:val="NormaleTabelle"/>
    <w:uiPriority w:val="59"/>
    <w:rsid w:val="0005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62CD-BCB8-4B1D-9886-92A8E513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2258</Words>
  <Characters>14227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Behrendt</dc:creator>
  <cp:keywords/>
  <dc:description/>
  <cp:lastModifiedBy>Behrendt</cp:lastModifiedBy>
  <cp:revision>6</cp:revision>
  <dcterms:created xsi:type="dcterms:W3CDTF">2022-02-02T15:36:00Z</dcterms:created>
  <dcterms:modified xsi:type="dcterms:W3CDTF">2022-02-03T10:49:00Z</dcterms:modified>
</cp:coreProperties>
</file>